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right"/>
        <w:rPr>
          <w:rFonts w:cs="Calibri" w:cstheme="minorHAnsi"/>
          <w:b/>
          <w:b/>
          <w:bCs/>
          <w:sz w:val="24"/>
          <w:szCs w:val="24"/>
        </w:rPr>
      </w:pPr>
      <w:r>
        <w:rPr>
          <w:rFonts w:cs="Calibri" w:cstheme="minorHAnsi"/>
          <w:b/>
          <w:bCs/>
          <w:sz w:val="24"/>
          <w:szCs w:val="24"/>
        </w:rPr>
        <w:t>Alla c/a di</w:t>
      </w:r>
    </w:p>
    <w:p>
      <w:pPr>
        <w:pStyle w:val="Normal"/>
        <w:spacing w:lineRule="auto" w:line="240" w:before="0" w:after="0"/>
        <w:jc w:val="right"/>
        <w:rPr>
          <w:rFonts w:cs="Calibri" w:cstheme="minorHAnsi"/>
          <w:sz w:val="24"/>
          <w:szCs w:val="24"/>
        </w:rPr>
      </w:pPr>
      <w:r>
        <w:rPr>
          <w:rFonts w:cs="Calibri" w:cstheme="minorHAnsi"/>
          <w:b/>
          <w:bCs/>
          <w:sz w:val="24"/>
          <w:szCs w:val="24"/>
        </w:rPr>
        <w:t>I.N.P.S. Filiale XXX</w:t>
      </w:r>
    </w:p>
    <w:p>
      <w:pPr>
        <w:pStyle w:val="Normal"/>
        <w:spacing w:lineRule="auto" w:line="240" w:before="0" w:after="0"/>
        <w:jc w:val="right"/>
        <w:rPr>
          <w:rFonts w:cs="Calibri" w:cstheme="minorHAnsi"/>
          <w:sz w:val="24"/>
          <w:szCs w:val="24"/>
          <w:lang w:val="fr-FR"/>
        </w:rPr>
      </w:pPr>
      <w:r>
        <w:rPr>
          <w:rFonts w:cs="Calibri" w:cstheme="minorHAnsi"/>
          <w:sz w:val="24"/>
          <w:szCs w:val="24"/>
          <w:lang w:val="fr-FR"/>
        </w:rPr>
        <w:t xml:space="preserve">PEC: </w:t>
      </w:r>
      <w:hyperlink r:id="rId2">
        <w:r>
          <w:rPr>
            <w:rStyle w:val="CollegamentoInternet"/>
            <w:rFonts w:cs="Calibri" w:cstheme="minorHAnsi"/>
            <w:sz w:val="24"/>
            <w:szCs w:val="24"/>
            <w:lang w:val="fr-FR"/>
          </w:rPr>
          <w:t>CC</w:t>
        </w:r>
      </w:hyperlink>
    </w:p>
    <w:p>
      <w:pPr>
        <w:pStyle w:val="Normal"/>
        <w:spacing w:lineRule="auto" w:line="360"/>
        <w:jc w:val="right"/>
        <w:rPr>
          <w:rFonts w:cs="Calibri" w:cstheme="minorHAnsi"/>
          <w:b/>
          <w:b/>
          <w:bCs/>
          <w:sz w:val="24"/>
          <w:szCs w:val="24"/>
          <w:lang w:val="fr-FR"/>
        </w:rPr>
      </w:pPr>
      <w:r>
        <w:rPr>
          <w:rFonts w:cs="Calibri" w:cstheme="minorHAnsi"/>
          <w:b/>
          <w:bCs/>
          <w:sz w:val="24"/>
          <w:szCs w:val="24"/>
          <w:lang w:val="fr-FR"/>
        </w:rPr>
      </w:r>
    </w:p>
    <w:p>
      <w:pPr>
        <w:pStyle w:val="Normal"/>
        <w:spacing w:lineRule="auto" w:line="240" w:before="120" w:after="120"/>
        <w:jc w:val="both"/>
        <w:rPr>
          <w:rFonts w:cs="Calibri" w:cstheme="minorHAnsi"/>
          <w:sz w:val="24"/>
          <w:szCs w:val="24"/>
        </w:rPr>
      </w:pPr>
      <w:r>
        <w:rPr>
          <w:rFonts w:cs="Calibri" w:cstheme="minorHAnsi"/>
          <w:b/>
          <w:bCs/>
          <w:sz w:val="24"/>
          <w:szCs w:val="24"/>
        </w:rPr>
        <w:t>Oggetto:</w:t>
      </w:r>
      <w:r>
        <w:rPr>
          <w:rFonts w:cs="Calibri" w:cstheme="minorHAnsi"/>
          <w:sz w:val="24"/>
          <w:szCs w:val="24"/>
        </w:rPr>
        <w:t xml:space="preserve"> Riesame Assegno Unico e Universale per i Figli del 24/01/2023</w:t>
      </w:r>
    </w:p>
    <w:p>
      <w:pPr>
        <w:pStyle w:val="Normal"/>
        <w:spacing w:lineRule="auto" w:line="240" w:before="120" w:after="120"/>
        <w:jc w:val="both"/>
        <w:rPr>
          <w:rFonts w:cs="Calibri" w:cstheme="minorHAnsi"/>
          <w:sz w:val="24"/>
          <w:szCs w:val="24"/>
        </w:rPr>
      </w:pPr>
      <w:r>
        <w:rPr>
          <w:rFonts w:cs="Calibri" w:cstheme="minorHAnsi"/>
          <w:sz w:val="24"/>
          <w:szCs w:val="24"/>
        </w:rPr>
        <w:t>Prot. n. INPSXXXXXXXXX</w:t>
      </w:r>
    </w:p>
    <w:p>
      <w:pPr>
        <w:pStyle w:val="Normal"/>
        <w:spacing w:lineRule="auto" w:line="240" w:before="120" w:after="120"/>
        <w:rPr>
          <w:rFonts w:cs="Calibri" w:cstheme="minorHAnsi"/>
          <w:sz w:val="24"/>
          <w:szCs w:val="24"/>
        </w:rPr>
      </w:pPr>
      <w:r>
        <w:rPr>
          <w:rFonts w:cs="Calibri" w:cstheme="minorHAnsi"/>
          <w:sz w:val="24"/>
          <w:szCs w:val="24"/>
        </w:rPr>
        <w:t>Cognome _____________ nato/a il ___/___/______ a ____________</w:t>
      </w:r>
    </w:p>
    <w:p>
      <w:pPr>
        <w:pStyle w:val="Normal"/>
        <w:spacing w:lineRule="auto" w:line="240" w:before="120" w:after="120"/>
        <w:jc w:val="both"/>
        <w:rPr>
          <w:rFonts w:cs="Calibri" w:cstheme="minorHAnsi"/>
          <w:sz w:val="24"/>
          <w:szCs w:val="24"/>
        </w:rPr>
      </w:pPr>
      <w:r>
        <w:rPr>
          <w:rFonts w:cs="Calibri" w:cstheme="minorHAnsi"/>
          <w:sz w:val="24"/>
          <w:szCs w:val="24"/>
        </w:rPr>
        <w:t>Cf: ______________________________</w:t>
      </w:r>
    </w:p>
    <w:p>
      <w:pPr>
        <w:pStyle w:val="Normal"/>
        <w:spacing w:lineRule="auto" w:line="240" w:before="120" w:after="120"/>
        <w:jc w:val="center"/>
        <w:rPr>
          <w:rFonts w:cs="Calibri" w:cstheme="minorHAnsi"/>
          <w:b/>
          <w:b/>
          <w:bCs/>
          <w:sz w:val="24"/>
          <w:szCs w:val="24"/>
        </w:rPr>
      </w:pPr>
      <w:r>
        <w:rPr>
          <w:rFonts w:cs="Calibri" w:cstheme="minorHAnsi"/>
          <w:b/>
          <w:bCs/>
          <w:sz w:val="24"/>
          <w:szCs w:val="24"/>
        </w:rPr>
      </w:r>
    </w:p>
    <w:p>
      <w:pPr>
        <w:pStyle w:val="Normal"/>
        <w:spacing w:lineRule="auto" w:line="240" w:before="120" w:after="120"/>
        <w:jc w:val="center"/>
        <w:rPr>
          <w:rFonts w:cs="Calibri" w:cstheme="minorHAnsi"/>
          <w:b/>
          <w:b/>
          <w:bCs/>
          <w:sz w:val="24"/>
          <w:szCs w:val="24"/>
        </w:rPr>
      </w:pPr>
      <w:r>
        <w:rPr>
          <w:rFonts w:cs="Calibri" w:cstheme="minorHAnsi"/>
          <w:b/>
          <w:bCs/>
          <w:sz w:val="24"/>
          <w:szCs w:val="24"/>
        </w:rPr>
        <w:t>PREMESSO CHE</w:t>
      </w:r>
    </w:p>
    <w:p>
      <w:pPr>
        <w:pStyle w:val="Normal"/>
        <w:spacing w:lineRule="auto" w:line="240" w:before="120" w:after="120"/>
        <w:jc w:val="both"/>
        <w:rPr>
          <w:rFonts w:cs="Calibri" w:cstheme="minorHAnsi"/>
          <w:sz w:val="24"/>
          <w:szCs w:val="24"/>
        </w:rPr>
      </w:pPr>
      <w:r>
        <w:rPr>
          <w:rFonts w:cs="Calibri" w:cstheme="minorHAnsi"/>
          <w:sz w:val="24"/>
          <w:szCs w:val="24"/>
        </w:rPr>
        <w:t xml:space="preserve">-  Il sig./Sig.ra _________________________è titolare di permesso unico lavoro per attesa occupazione ai sensi dell’art. 5, comma 8.1 d.lgs. n. 286/98 T.U.I., rilasciato dalla Questura di _____________. </w:t>
      </w:r>
    </w:p>
    <w:p>
      <w:pPr>
        <w:pStyle w:val="Normal"/>
        <w:spacing w:lineRule="auto" w:line="240" w:before="120" w:after="120"/>
        <w:ind w:left="142" w:hanging="142"/>
        <w:jc w:val="center"/>
        <w:rPr>
          <w:rFonts w:cs="Calibri" w:cstheme="minorHAnsi"/>
          <w:b/>
          <w:b/>
          <w:bCs/>
          <w:sz w:val="24"/>
          <w:szCs w:val="24"/>
        </w:rPr>
      </w:pPr>
      <w:r>
        <w:rPr>
          <w:rFonts w:cs="Calibri" w:cstheme="minorHAnsi"/>
          <w:b/>
          <w:bCs/>
          <w:sz w:val="24"/>
          <w:szCs w:val="24"/>
        </w:rPr>
      </w:r>
    </w:p>
    <w:p>
      <w:pPr>
        <w:pStyle w:val="Normal"/>
        <w:spacing w:lineRule="auto" w:line="240" w:before="120" w:after="120"/>
        <w:ind w:left="142" w:hanging="142"/>
        <w:jc w:val="center"/>
        <w:rPr>
          <w:rFonts w:cs="Calibri" w:cstheme="minorHAnsi"/>
          <w:b/>
          <w:b/>
          <w:bCs/>
          <w:sz w:val="24"/>
          <w:szCs w:val="24"/>
        </w:rPr>
      </w:pPr>
      <w:r>
        <w:rPr>
          <w:rFonts w:cs="Calibri" w:cstheme="minorHAnsi"/>
          <w:b/>
          <w:bCs/>
          <w:sz w:val="24"/>
          <w:szCs w:val="24"/>
        </w:rPr>
        <w:t>CONSIDERATO CHE</w:t>
      </w:r>
    </w:p>
    <w:p>
      <w:pPr>
        <w:pStyle w:val="Normal"/>
        <w:spacing w:lineRule="auto" w:line="240" w:before="120" w:after="120"/>
        <w:jc w:val="both"/>
        <w:rPr>
          <w:rFonts w:cs="Calibri" w:cstheme="minorHAnsi"/>
          <w:sz w:val="24"/>
          <w:szCs w:val="24"/>
        </w:rPr>
      </w:pPr>
      <w:r>
        <w:rPr>
          <w:rFonts w:cs="Calibri" w:cstheme="minorHAnsi"/>
          <w:sz w:val="24"/>
          <w:szCs w:val="24"/>
        </w:rPr>
      </w:r>
    </w:p>
    <w:p>
      <w:pPr>
        <w:pStyle w:val="ListParagraph"/>
        <w:numPr>
          <w:ilvl w:val="0"/>
          <w:numId w:val="1"/>
        </w:numPr>
        <w:spacing w:lineRule="auto" w:line="240" w:before="120" w:after="120"/>
        <w:contextualSpacing/>
        <w:jc w:val="both"/>
        <w:rPr>
          <w:rFonts w:cs="Calibri" w:cstheme="minorHAnsi"/>
          <w:i/>
          <w:i/>
          <w:iCs/>
          <w:sz w:val="24"/>
          <w:szCs w:val="24"/>
        </w:rPr>
      </w:pPr>
      <w:r>
        <w:rPr>
          <w:rFonts w:cs="Calibri" w:cstheme="minorHAnsi"/>
          <w:sz w:val="24"/>
          <w:szCs w:val="24"/>
        </w:rPr>
        <w:t>Il decreto legislativo 230/2021 prevede all’ art. 3 che “</w:t>
      </w:r>
      <w:r>
        <w:rPr>
          <w:rFonts w:cs="Calibri" w:cstheme="minorHAnsi"/>
          <w:i/>
          <w:iCs/>
          <w:sz w:val="24"/>
          <w:szCs w:val="24"/>
        </w:rPr>
        <w:t xml:space="preserve">1. L'assegno di cui all'articolo 1 è riconosciuto a condizione che al momento della presentazione della domanda e per  tutta  la  durata del beneficio il  richiedente  sia  in  possesso  congiuntamente  dei seguenti requisiti di cittadinanza, residenza e soggiorno:  a) sia cittadino italiano  o  di  uno  Stato  membro  dell'Unione europea, o suo familiare, titolare del diritto  di  soggiorno  o  del diritto di soggiorno permanente, ovvero sia cittadino  di  uno  Stato non appartenente all'Unione  europea  in  possesso  del  permesso  di soggiorno UE per soggiornanti di lungo  periodo  o  </w:t>
      </w:r>
      <w:r>
        <w:rPr>
          <w:rFonts w:cs="Calibri" w:cstheme="minorHAnsi"/>
          <w:b/>
          <w:bCs/>
          <w:i/>
          <w:iCs/>
          <w:sz w:val="24"/>
          <w:szCs w:val="24"/>
        </w:rPr>
        <w:t xml:space="preserve">sia  titolare  di permesso  unico  di  lavoro  autorizzato  a   svolgere   un’attività lavorativa per un periodo superiore a sei  mesi </w:t>
      </w:r>
      <w:r>
        <w:rPr>
          <w:rFonts w:cs="Calibri" w:cstheme="minorHAnsi"/>
          <w:i/>
          <w:iCs/>
          <w:sz w:val="24"/>
          <w:szCs w:val="24"/>
        </w:rPr>
        <w:t xml:space="preserve"> o  sia  titolare  di permesso di soggiorno per motivi di ricerca autorizzato a soggiornare in Italia per un periodo superiore a sei mesi”</w:t>
      </w:r>
    </w:p>
    <w:p>
      <w:pPr>
        <w:pStyle w:val="ListParagraph"/>
        <w:numPr>
          <w:ilvl w:val="0"/>
          <w:numId w:val="1"/>
        </w:numPr>
        <w:spacing w:lineRule="auto" w:line="240" w:before="120" w:after="120"/>
        <w:contextualSpacing/>
        <w:jc w:val="both"/>
        <w:rPr>
          <w:rFonts w:cs="Calibri" w:cstheme="minorHAnsi"/>
          <w:i/>
          <w:i/>
          <w:iCs/>
          <w:sz w:val="24"/>
          <w:szCs w:val="24"/>
        </w:rPr>
      </w:pPr>
      <w:r>
        <w:rPr>
          <w:rFonts w:cs="Calibri" w:cstheme="minorHAnsi"/>
          <w:sz w:val="24"/>
          <w:szCs w:val="24"/>
        </w:rPr>
        <w:t xml:space="preserve">Con la circolare INPS n. 23 del 9 febbraio 2022 la prestazione è stata poi esplicitamente estesa a: Titolari di protezione internazionale (rifugiati e titolari di protezione sussidiaria), Apolidi, Titolari di Carta Blu, Titolari di permesso per lavoro autonomo, Lavoratori di Algeria, Marocco, Tunisia in forza degli accordi bilaterali dell'UE con questi Paesi. </w:t>
      </w:r>
    </w:p>
    <w:p>
      <w:pPr>
        <w:pStyle w:val="ListParagraph"/>
        <w:numPr>
          <w:ilvl w:val="0"/>
          <w:numId w:val="1"/>
        </w:numPr>
        <w:spacing w:lineRule="auto" w:line="240" w:before="120" w:after="120"/>
        <w:contextualSpacing/>
        <w:jc w:val="both"/>
        <w:rPr>
          <w:rFonts w:cs="Calibri" w:cstheme="minorHAnsi"/>
          <w:i/>
          <w:i/>
          <w:iCs/>
          <w:sz w:val="24"/>
          <w:szCs w:val="24"/>
        </w:rPr>
      </w:pPr>
      <w:r>
        <w:rPr>
          <w:rFonts w:cs="Calibri" w:cstheme="minorHAnsi"/>
          <w:sz w:val="24"/>
          <w:szCs w:val="24"/>
        </w:rPr>
        <w:t xml:space="preserve">Inoltre, con il messaggio 25 luglio 2022, l’INPS ha ulteriormente esteso l’elenco degli aventi diritto ai seguenti permessi: Permesso per lavoro stagionale di durata di almeno 6 mesi; Permesso per assistenza minori ex art. 31, comma 3, del T.U.; Permesso per protezione speciale ex art. 19, commi 1, 1.1, 1.2 TU immigrazione; Permesso per casi speciali rilasciato ai sensi degli articoli 18 (grave sfruttamento) e 18 bis (violenza domestica) del T.U. immigrazione.  </w:t>
      </w:r>
      <w:r>
        <w:rPr>
          <w:rFonts w:cs="Calibri" w:cstheme="minorHAnsi"/>
          <w:b/>
          <w:bCs/>
          <w:sz w:val="24"/>
          <w:szCs w:val="24"/>
        </w:rPr>
        <w:t xml:space="preserve">Sembrerebbe escluso il permesso di soggiorno per attesa occupazione. </w:t>
      </w:r>
    </w:p>
    <w:p>
      <w:pPr>
        <w:pStyle w:val="ListParagraph"/>
        <w:numPr>
          <w:ilvl w:val="0"/>
          <w:numId w:val="1"/>
        </w:numPr>
        <w:spacing w:lineRule="auto" w:line="240" w:before="120" w:after="120"/>
        <w:contextualSpacing/>
        <w:jc w:val="both"/>
        <w:rPr>
          <w:rFonts w:cs="Calibri" w:cstheme="minorHAnsi"/>
          <w:i/>
          <w:i/>
          <w:iCs/>
          <w:sz w:val="24"/>
          <w:szCs w:val="24"/>
        </w:rPr>
      </w:pPr>
      <w:r>
        <w:rPr>
          <w:rFonts w:cs="Calibri" w:cstheme="minorHAnsi"/>
          <w:sz w:val="24"/>
          <w:szCs w:val="24"/>
        </w:rPr>
        <w:t>Tuttavia, tale esclusione è senz’altro illegittima. Occorre preliminarmente sottolineare, infatti, che il permesso di soggiorno per attesa occupazione rientra nella categoria del permesso unico lavoro come previsto dall’ art. 12 direttiva 2011/98 - “</w:t>
      </w:r>
      <w:r>
        <w:rPr>
          <w:rFonts w:cs="Calibri" w:cstheme="minorHAnsi"/>
          <w:i/>
          <w:iCs/>
          <w:sz w:val="24"/>
          <w:szCs w:val="24"/>
        </w:rPr>
        <w:t xml:space="preserve">I lavoratori di cui </w:t>
      </w:r>
      <w:r>
        <w:rPr>
          <w:rFonts w:cs="Calibri" w:cstheme="minorHAnsi"/>
          <w:b/>
          <w:bCs/>
          <w:i/>
          <w:iCs/>
          <w:sz w:val="24"/>
          <w:szCs w:val="24"/>
        </w:rPr>
        <w:t>all’art. 3  paragrafo 1, lettere b) c) (cioè i cittadini dei paesi terzi che sono stati ammessi in uno Stato membro a fini lavorativi e quelli che sono stati ammessi a fini diversi dall’attività lavorativa, ma ai quali è consentito di lavorare)</w:t>
      </w:r>
      <w:r>
        <w:rPr>
          <w:rFonts w:cs="Calibri" w:cstheme="minorHAnsi"/>
          <w:i/>
          <w:iCs/>
          <w:sz w:val="24"/>
          <w:szCs w:val="24"/>
        </w:rPr>
        <w:t xml:space="preserve"> beneficiano dello stesso trattamento riservato ai cittadini dello Stato membro in cui soggiornano per quanto concerne:[…]e) i settori della sicurezza sociale come definiti dal regolamento CE 883/2004</w:t>
      </w:r>
      <w:r>
        <w:rPr>
          <w:rFonts w:cs="Calibri" w:cstheme="minorHAnsi"/>
          <w:sz w:val="24"/>
          <w:szCs w:val="24"/>
        </w:rPr>
        <w:t>”.</w:t>
      </w:r>
    </w:p>
    <w:p>
      <w:pPr>
        <w:pStyle w:val="ListParagraph"/>
        <w:numPr>
          <w:ilvl w:val="0"/>
          <w:numId w:val="1"/>
        </w:numPr>
        <w:spacing w:lineRule="auto" w:line="240" w:before="120" w:after="120"/>
        <w:contextualSpacing/>
        <w:jc w:val="both"/>
        <w:rPr>
          <w:rFonts w:cs="Calibri" w:cstheme="minorHAnsi"/>
          <w:i/>
          <w:i/>
          <w:iCs/>
          <w:sz w:val="24"/>
          <w:szCs w:val="24"/>
        </w:rPr>
      </w:pPr>
      <w:r>
        <w:rPr>
          <w:rFonts w:cs="Calibri" w:cstheme="minorHAnsi"/>
          <w:sz w:val="24"/>
          <w:szCs w:val="24"/>
        </w:rPr>
        <w:t>Infatti, l’art. 22 c. 11 del D.lgs. 286/98 “</w:t>
      </w:r>
      <w:r>
        <w:rPr>
          <w:rFonts w:cs="Calibri" w:cstheme="minorHAnsi"/>
          <w:i/>
          <w:iCs/>
          <w:sz w:val="24"/>
          <w:szCs w:val="24"/>
        </w:rPr>
        <w:t xml:space="preserve">La perdita del posto di lavoro non costituisce motivo di revoca del permesso di soggiorno al lavoratore extracomunitario ed ai suoi familiari legalmente soggiornanti.  Il  lavoratore   straniero   in possesso del permesso di soggiorno per lavoro subordinato  che  perde il posto di lavoro, anche per dimissioni, può essere iscritto  nelle liste di  collocamento  per  il  periodo  di  residua  validità  del permesso di soggiorno, </w:t>
      </w:r>
      <w:r>
        <w:rPr>
          <w:rFonts w:cs="Calibri" w:cstheme="minorHAnsi"/>
          <w:b/>
          <w:bCs/>
          <w:i/>
          <w:iCs/>
          <w:sz w:val="24"/>
          <w:szCs w:val="24"/>
        </w:rPr>
        <w:t>e comunque, salvo che si tratti di permesso di soggiorno per lavoro stagionale,</w:t>
      </w:r>
      <w:r>
        <w:rPr>
          <w:rFonts w:cs="Calibri" w:cstheme="minorHAnsi"/>
          <w:i/>
          <w:iCs/>
          <w:sz w:val="24"/>
          <w:szCs w:val="24"/>
        </w:rPr>
        <w:t xml:space="preserve"> </w:t>
      </w:r>
      <w:r>
        <w:rPr>
          <w:rFonts w:cs="Calibri" w:cstheme="minorHAnsi"/>
          <w:b/>
          <w:bCs/>
          <w:i/>
          <w:iCs/>
          <w:sz w:val="24"/>
          <w:szCs w:val="24"/>
        </w:rPr>
        <w:t>per un periodo non inferiore  ad  un anno</w:t>
      </w:r>
      <w:r>
        <w:rPr>
          <w:rFonts w:cs="Calibri" w:cstheme="minorHAnsi"/>
          <w:i/>
          <w:iCs/>
          <w:sz w:val="24"/>
          <w:szCs w:val="24"/>
        </w:rPr>
        <w:t xml:space="preserve"> </w:t>
      </w:r>
      <w:r>
        <w:rPr>
          <w:rFonts w:cs="Calibri" w:cstheme="minorHAnsi"/>
          <w:b/>
          <w:bCs/>
          <w:i/>
          <w:iCs/>
          <w:sz w:val="24"/>
          <w:szCs w:val="24"/>
        </w:rPr>
        <w:t xml:space="preserve">ovvero per tutto il  periodo  di  durata  della  prestazione  di sostegno al  reddito  percepita  dal  lavoratore  straniero,  qualora superiore. </w:t>
      </w:r>
      <w:r>
        <w:rPr>
          <w:rFonts w:cs="Calibri" w:cstheme="minorHAnsi"/>
          <w:i/>
          <w:iCs/>
          <w:sz w:val="24"/>
          <w:szCs w:val="24"/>
        </w:rPr>
        <w:t>Decorso il termine di cui al secondo periodo, trovano applicazione i requisiti reddituali di cui all'articolo 29, comma 3, lettera b). Il regolamento di attuazione stabilisce le modalità di comunicazione ai centri per l'impiego, anche ai fini dell’iscrizione del lavoratore straniero nelle liste di collocamento con priorità rispetto a nuovi lavoratori extracomunitari”.</w:t>
      </w:r>
    </w:p>
    <w:p>
      <w:pPr>
        <w:pStyle w:val="ListParagraph"/>
        <w:numPr>
          <w:ilvl w:val="0"/>
          <w:numId w:val="1"/>
        </w:numPr>
        <w:spacing w:lineRule="auto" w:line="240" w:before="120" w:after="120"/>
        <w:contextualSpacing/>
        <w:jc w:val="both"/>
        <w:rPr>
          <w:rFonts w:cs="Calibri" w:cstheme="minorHAnsi"/>
          <w:sz w:val="24"/>
          <w:szCs w:val="24"/>
        </w:rPr>
      </w:pPr>
      <w:r>
        <w:rPr>
          <w:rFonts w:cs="Calibri" w:cstheme="minorHAnsi"/>
          <w:sz w:val="24"/>
          <w:szCs w:val="24"/>
        </w:rPr>
        <w:t xml:space="preserve">Infine, Il tribunale di Trento con la sentenza 121 del 19.09.2023 ha dichiarato che il permesso di soggiorno per attesa occupazione è senz’altro titolo idoneo per la fruizione della prestazione in esame. </w:t>
      </w:r>
    </w:p>
    <w:p>
      <w:pPr>
        <w:pStyle w:val="ListParagraph"/>
        <w:numPr>
          <w:ilvl w:val="0"/>
          <w:numId w:val="1"/>
        </w:numPr>
        <w:spacing w:lineRule="auto" w:line="240" w:before="120" w:after="120"/>
        <w:contextualSpacing/>
        <w:jc w:val="both"/>
        <w:rPr>
          <w:rFonts w:cs="Calibri" w:cstheme="minorHAnsi"/>
          <w:b/>
          <w:b/>
          <w:bCs/>
          <w:sz w:val="24"/>
          <w:szCs w:val="24"/>
        </w:rPr>
      </w:pPr>
      <w:r>
        <w:rPr>
          <w:rFonts w:cs="Calibri" w:cstheme="minorHAnsi"/>
          <w:b/>
          <w:bCs/>
          <w:sz w:val="24"/>
          <w:szCs w:val="24"/>
        </w:rPr>
        <w:t xml:space="preserve">Con la stessa decisione il tribunale ha ordinato di riesaminare tutte le pratiche precedentemente respinte e ciò anche al fine di evitare ulteriori contenziosi. </w:t>
      </w:r>
    </w:p>
    <w:p>
      <w:pPr>
        <w:pStyle w:val="Normal"/>
        <w:spacing w:lineRule="auto" w:line="240" w:before="120" w:after="120"/>
        <w:ind w:left="142" w:hanging="142"/>
        <w:jc w:val="both"/>
        <w:rPr>
          <w:rFonts w:cs="Calibri" w:cstheme="minorHAnsi"/>
          <w:sz w:val="24"/>
          <w:szCs w:val="24"/>
        </w:rPr>
      </w:pPr>
      <w:r>
        <w:rPr>
          <w:rFonts w:cs="Calibri" w:cstheme="minorHAnsi"/>
          <w:sz w:val="24"/>
          <w:szCs w:val="24"/>
        </w:rPr>
      </w:r>
    </w:p>
    <w:p>
      <w:pPr>
        <w:pStyle w:val="Normal"/>
        <w:spacing w:lineRule="auto" w:line="240" w:before="120" w:after="120"/>
        <w:ind w:left="142" w:hanging="142"/>
        <w:jc w:val="both"/>
        <w:rPr>
          <w:rFonts w:cs="Calibri" w:cstheme="minorHAnsi"/>
          <w:sz w:val="24"/>
          <w:szCs w:val="24"/>
        </w:rPr>
      </w:pPr>
      <w:r>
        <w:rPr>
          <w:rFonts w:cs="Calibri" w:cstheme="minorHAnsi"/>
          <w:sz w:val="24"/>
          <w:szCs w:val="24"/>
        </w:rPr>
        <w:t>Pertanto, si richiede di riesaminare la pratica.</w:t>
      </w:r>
    </w:p>
    <w:p>
      <w:pPr>
        <w:pStyle w:val="Normal"/>
        <w:spacing w:lineRule="auto" w:line="240" w:before="120" w:after="120"/>
        <w:ind w:left="142" w:hanging="142"/>
        <w:jc w:val="both"/>
        <w:rPr>
          <w:rFonts w:cs="Calibri" w:cstheme="minorHAnsi"/>
          <w:sz w:val="24"/>
          <w:szCs w:val="24"/>
        </w:rPr>
      </w:pPr>
      <w:r>
        <w:rPr>
          <w:rFonts w:cs="Calibri" w:cstheme="minorHAnsi"/>
          <w:sz w:val="24"/>
          <w:szCs w:val="24"/>
        </w:rPr>
      </w:r>
    </w:p>
    <w:p>
      <w:pPr>
        <w:pStyle w:val="Normal"/>
        <w:spacing w:lineRule="auto" w:line="240" w:before="120" w:after="120"/>
        <w:rPr>
          <w:rFonts w:cs="Calibri" w:cstheme="minorHAnsi"/>
          <w:sz w:val="24"/>
          <w:szCs w:val="24"/>
        </w:rPr>
      </w:pPr>
      <w:r>
        <w:rPr>
          <w:rFonts w:cs="Calibri" w:cstheme="minorHAnsi"/>
          <w:sz w:val="24"/>
          <w:szCs w:val="24"/>
        </w:rPr>
        <w:t>Allegati:</w:t>
      </w:r>
    </w:p>
    <w:p>
      <w:pPr>
        <w:pStyle w:val="Normal"/>
        <w:spacing w:lineRule="auto" w:line="240" w:before="120" w:after="120"/>
        <w:ind w:firstLine="708"/>
        <w:rPr>
          <w:rFonts w:cs="Calibri" w:cstheme="minorHAnsi"/>
          <w:sz w:val="24"/>
          <w:szCs w:val="24"/>
        </w:rPr>
      </w:pPr>
      <w:r>
        <w:rPr>
          <w:rFonts w:cs="Calibri" w:cstheme="minorHAnsi"/>
          <w:sz w:val="24"/>
          <w:szCs w:val="24"/>
        </w:rPr>
        <w:t>1) Sentenza del Tribunale di Trento n. 121</w:t>
      </w:r>
      <w:r>
        <w:rPr>
          <w:rFonts w:cs="Calibri" w:cstheme="minorHAnsi"/>
          <w:color w:val="1C2024"/>
          <w:sz w:val="24"/>
          <w:szCs w:val="24"/>
          <w:shd w:fill="FFFFFF" w:val="clear"/>
        </w:rPr>
        <w:t>;</w:t>
      </w:r>
    </w:p>
    <w:p>
      <w:pPr>
        <w:pStyle w:val="Normal"/>
        <w:spacing w:lineRule="auto" w:line="240" w:before="120" w:after="120"/>
        <w:ind w:firstLine="708"/>
        <w:rPr>
          <w:rFonts w:cs="Calibri" w:cstheme="minorHAnsi"/>
          <w:sz w:val="24"/>
          <w:szCs w:val="24"/>
        </w:rPr>
      </w:pPr>
      <w:r>
        <w:rPr>
          <w:rFonts w:cs="Calibri" w:cstheme="minorHAnsi"/>
          <w:sz w:val="24"/>
          <w:szCs w:val="24"/>
        </w:rPr>
        <w:t>2) Ricevuta della domanda;</w:t>
      </w:r>
    </w:p>
    <w:p>
      <w:pPr>
        <w:pStyle w:val="Normal"/>
        <w:spacing w:lineRule="auto" w:line="240" w:before="120" w:after="120"/>
        <w:ind w:firstLine="708"/>
        <w:rPr>
          <w:rFonts w:cs="Calibri" w:cstheme="minorHAnsi"/>
          <w:sz w:val="24"/>
          <w:szCs w:val="24"/>
        </w:rPr>
      </w:pPr>
      <w:r>
        <w:rPr>
          <w:rFonts w:cs="Calibri" w:cstheme="minorHAnsi"/>
          <w:sz w:val="24"/>
          <w:szCs w:val="24"/>
        </w:rPr>
        <w:t>3) Permesso di soggiorno</w:t>
      </w:r>
    </w:p>
    <w:p>
      <w:pPr>
        <w:pStyle w:val="NormalWeb"/>
        <w:spacing w:before="120" w:after="120"/>
        <w:jc w:val="both"/>
        <w:rPr>
          <w:rFonts w:ascii="Calibri" w:hAnsi="Calibri" w:cs="Calibri" w:asciiTheme="minorHAnsi" w:cstheme="minorHAnsi" w:hAnsiTheme="minorHAnsi"/>
        </w:rPr>
      </w:pPr>
      <w:r>
        <w:rPr>
          <w:rFonts w:cs="Calibri" w:cstheme="minorHAnsi" w:ascii="Calibri" w:hAnsi="Calibri"/>
        </w:rPr>
      </w:r>
    </w:p>
    <w:p>
      <w:pPr>
        <w:pStyle w:val="NormalWeb"/>
        <w:spacing w:before="120" w:after="120"/>
        <w:jc w:val="both"/>
        <w:rPr>
          <w:rFonts w:ascii="Calibri" w:hAnsi="Calibri" w:cs="Calibri" w:asciiTheme="minorHAnsi" w:cstheme="minorHAnsi" w:hAnsiTheme="minorHAnsi"/>
        </w:rPr>
      </w:pPr>
      <w:r>
        <w:rPr>
          <w:rFonts w:cs="Calibri" w:ascii="Calibri" w:hAnsi="Calibri" w:asciiTheme="minorHAnsi" w:cstheme="minorHAnsi" w:hAnsiTheme="minorHAnsi"/>
        </w:rPr>
        <w:t>Luogo, Data e Firma</w:t>
      </w:r>
    </w:p>
    <w:sectPr>
      <w:footerReference w:type="default" r:id="rId3"/>
      <w:type w:val="nextPage"/>
      <w:pgSz w:w="11906" w:h="16838"/>
      <w:pgMar w:left="1134" w:right="1134" w:header="0" w:top="1417"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9914178"/>
    </w:sdtPr>
    <w:sdtContent>
      <w:p>
        <w:pPr>
          <w:pStyle w:val="Pidipagina"/>
          <w:jc w:val="center"/>
          <w:rPr/>
        </w:pPr>
        <w:r>
          <w:rPr/>
          <w:fldChar w:fldCharType="begin"/>
        </w:r>
        <w:r>
          <w:rPr/>
          <w:instrText> PAGE </w:instrText>
        </w:r>
        <w:r>
          <w:rPr/>
          <w:fldChar w:fldCharType="separate"/>
        </w:r>
        <w:r>
          <w:rPr/>
          <w:t>2</w:t>
        </w:r>
        <w:r>
          <w:rPr/>
          <w:fldChar w:fldCharType="end"/>
        </w:r>
      </w:p>
    </w:sdtContent>
  </w:sdt>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55"/>
      <w:numFmt w:val="bullet"/>
      <w:lvlText w:val="-"/>
      <w:lvlJc w:val="left"/>
      <w:pPr>
        <w:ind w:left="720" w:hanging="360"/>
      </w:pPr>
      <w:rPr>
        <w:rFonts w:ascii="Times New Roman" w:hAnsi="Times New Roman" w:cs="Times New Roman" w:hint="default"/>
        <w:i w:val="false"/>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893600"/>
    <w:rPr/>
  </w:style>
  <w:style w:type="character" w:styleId="PidipaginaCarattere" w:customStyle="1">
    <w:name w:val="Piè di pagina Carattere"/>
    <w:basedOn w:val="DefaultParagraphFont"/>
    <w:link w:val="Pidipagina"/>
    <w:uiPriority w:val="99"/>
    <w:qFormat/>
    <w:rsid w:val="00893600"/>
    <w:rPr/>
  </w:style>
  <w:style w:type="character" w:styleId="CollegamentoInternet">
    <w:name w:val="Collegamento Internet"/>
    <w:basedOn w:val="DefaultParagraphFont"/>
    <w:uiPriority w:val="99"/>
    <w:unhideWhenUsed/>
    <w:rsid w:val="005a7305"/>
    <w:rPr>
      <w:color w:val="0563C1" w:themeColor="hyperlink"/>
      <w:u w:val="single"/>
    </w:rPr>
  </w:style>
  <w:style w:type="character" w:styleId="UnresolvedMention">
    <w:name w:val="Unresolved Mention"/>
    <w:basedOn w:val="DefaultParagraphFont"/>
    <w:uiPriority w:val="99"/>
    <w:semiHidden/>
    <w:unhideWhenUsed/>
    <w:qFormat/>
    <w:rsid w:val="005a7305"/>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Web">
    <w:name w:val="Normal (Web)"/>
    <w:qFormat/>
    <w:rsid w:val="0080613a"/>
    <w:pPr>
      <w:widowControl w:val="false"/>
      <w:pBdr/>
      <w:bidi w:val="0"/>
      <w:spacing w:lineRule="auto" w:line="240" w:before="280" w:after="280"/>
      <w:jc w:val="left"/>
    </w:pPr>
    <w:rPr>
      <w:rFonts w:ascii="Times New Roman" w:hAnsi="Times New Roman" w:eastAsia="Times New Roman" w:cs="Times New Roman"/>
      <w:color w:val="000000"/>
      <w:kern w:val="2"/>
      <w:sz w:val="24"/>
      <w:szCs w:val="24"/>
      <w:u w:val="none" w:color="000000"/>
      <w:lang w:eastAsia="it-IT" w:val="it-IT" w:bidi="ar-SA"/>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893600"/>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893600"/>
    <w:pPr>
      <w:tabs>
        <w:tab w:val="clear" w:pos="708"/>
        <w:tab w:val="center" w:pos="4819" w:leader="none"/>
        <w:tab w:val="right" w:pos="9638" w:leader="none"/>
      </w:tabs>
      <w:spacing w:lineRule="auto" w:line="240" w:before="0" w:after="0"/>
    </w:pPr>
    <w:rPr/>
  </w:style>
  <w:style w:type="paragraph" w:styleId="Standard" w:customStyle="1">
    <w:name w:val="Standard"/>
    <w:qFormat/>
    <w:rsid w:val="00893600"/>
    <w:pPr>
      <w:widowControl w:val="false"/>
      <w:pBdr/>
      <w:suppressAutoHyphens w:val="true"/>
      <w:bidi w:val="0"/>
      <w:spacing w:lineRule="auto" w:line="240" w:before="0" w:after="0"/>
      <w:jc w:val="left"/>
    </w:pPr>
    <w:rPr>
      <w:rFonts w:ascii="Times New Roman" w:hAnsi="Times New Roman" w:eastAsia="Arial Unicode MS" w:cs="Arial Unicode MS"/>
      <w:color w:val="000000"/>
      <w:kern w:val="2"/>
      <w:sz w:val="24"/>
      <w:szCs w:val="24"/>
      <w:u w:val="none" w:color="000000"/>
      <w:lang w:eastAsia="it-IT" w:val="it-IT" w:bidi="ar-SA"/>
    </w:rPr>
  </w:style>
  <w:style w:type="paragraph" w:styleId="ListParagraph">
    <w:name w:val="List Paragraph"/>
    <w:basedOn w:val="Normal"/>
    <w:uiPriority w:val="34"/>
    <w:qFormat/>
    <w:rsid w:val="005a7305"/>
    <w:pPr>
      <w:spacing w:before="0" w:after="16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iliale.metropolitana.romamontesacro@postacert.inps.gov.it"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LibreOffice/6.4.4.2$Windows_X86_64 LibreOffice_project/3d775be2011f3886db32dfd395a6a6d1ca2630ff</Application>
  <Pages>2</Pages>
  <Words>693</Words>
  <Characters>3899</Characters>
  <CharactersWithSpaces>4648</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2023-09-25T14:55:00Z</dcterms:created>
  <dc:creator>SILVIA TRIPICIANO</dc:creator>
  <dc:description/>
  <dc:language>it-IT</dc:language>
  <cp:lastModifiedBy>Valeria De Amorim Pio</cp:lastModifiedBy>
  <dcterms:modified xsi:type="dcterms:W3CDTF">2023-09-25T15:48:00Z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