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n. 6, marzo 2020</w:t>
      </w: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A cura di M.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Vangi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L.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Finazzi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V. Segato, M. Vespa </w:t>
      </w: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 questo numero</w:t>
      </w:r>
    </w:p>
    <w:p w:rsidR="000B3024" w:rsidRDefault="000B3024" w:rsidP="002A499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Dalle Agenzie di stampa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regionali </w:t>
      </w:r>
    </w:p>
    <w:p w:rsidR="002C0686" w:rsidRPr="002C0686" w:rsidRDefault="002C0686" w:rsidP="002C068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Disabili, 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assessore Bolognini nell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angolo </w:t>
      </w:r>
    </w:p>
    <w:p w:rsidR="002C0686" w:rsidRPr="002C0686" w:rsidRDefault="002C0686" w:rsidP="002C068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proofErr w:type="spellStart"/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Superticket</w:t>
      </w:r>
      <w:proofErr w:type="spellEnd"/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addio</w:t>
      </w:r>
    </w:p>
    <w:p w:rsidR="002C0686" w:rsidRPr="002C0686" w:rsidRDefault="002C0686" w:rsidP="002C068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Disabili. Emanata la delibera che corregge (parzialmente) i tagli di dicembre </w:t>
      </w:r>
    </w:p>
    <w:p w:rsidR="002C0686" w:rsidRPr="002C0686" w:rsidRDefault="002C0686" w:rsidP="002C068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Nonostante il coronavirus. La Lombardia ha bisogno di serenità e chiarezza </w:t>
      </w:r>
    </w:p>
    <w:p w:rsidR="002C0686" w:rsidRPr="002C0686" w:rsidRDefault="002C0686" w:rsidP="002C0686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2C0686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Stop ai volontari non qualificati nei nidi </w:t>
      </w:r>
    </w:p>
    <w:p w:rsidR="002C0686" w:rsidRDefault="002C0686" w:rsidP="002C06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Lombardia sociale</w:t>
      </w:r>
    </w:p>
    <w:p w:rsidR="002C0686" w:rsidRDefault="002C0686" w:rsidP="002C06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Pr="000B3024" w:rsidRDefault="00B37FEE" w:rsidP="002A499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</w:t>
      </w:r>
      <w:r w:rsid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lle Agenzie di stampa nazionali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Reddito di cittadinanza: Inps, 1.119.000 domande accolte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Sanità: </w:t>
      </w:r>
      <w:proofErr w:type="spellStart"/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Bonaccin</w:t>
      </w:r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, al via 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ospedale di comunità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“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una conquista sociale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”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Accordo Stato-Regioni su 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“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comunità amiche 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“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delle persone con demenza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Coronavirus: i testi dei due decreti del 23 febbraio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Coronavirus: le ordinanze delle regioni del Nord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Coronavirus: 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impegno di Governo e Regioni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Sanità: as</w:t>
      </w:r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sunzione medici specializzandi. 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Documento della Conferenza delle Regioni 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Coronavirus: Lombardia, chiarimenti sull</w:t>
      </w:r>
      <w:r w:rsidR="002F7BB4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’</w:t>
      </w:r>
      <w:r w:rsidRPr="00A841FB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ordinanza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Ospedali di comunità: il testo dell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Intesa</w:t>
      </w:r>
    </w:p>
    <w:p w:rsidR="00A841FB" w:rsidRP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Emergenza Coronavirus: i testi in Gazzetta Ufficiale</w:t>
      </w:r>
    </w:p>
    <w:p w:rsidR="00A841FB" w:rsidRDefault="00A841FB" w:rsidP="00A841FB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Ordinanze sull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A841FB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epidemia da coronavirus. Mattarella: conoscenza aiuta la responsabilità</w:t>
      </w:r>
    </w:p>
    <w:p w:rsidR="002F7BB4" w:rsidRPr="002F7BB4" w:rsidRDefault="002F7BB4" w:rsidP="002F7BB4">
      <w:pPr>
        <w:pStyle w:val="Paragrafoelenco"/>
        <w:widowControl w:val="0"/>
        <w:numPr>
          <w:ilvl w:val="0"/>
          <w:numId w:val="9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Coronavirus: misure e provvedimenti sanitari </w:t>
      </w:r>
    </w:p>
    <w:p w:rsidR="000B3024" w:rsidRDefault="00A841FB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Epicentro</w:t>
      </w:r>
      <w:r w:rsidR="00DB555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: 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 xml:space="preserve">Mortalità perinatale: il convegno </w:t>
      </w:r>
      <w:proofErr w:type="spellStart"/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SPItOSS</w:t>
      </w:r>
      <w:proofErr w:type="spellEnd"/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Indagine sui consultori familiari</w:t>
      </w:r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Profilo di salute della popolazione italiana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bCs/>
          <w:i/>
          <w:color w:val="1F497D"/>
          <w:kern w:val="2"/>
          <w:sz w:val="24"/>
          <w:szCs w:val="24"/>
          <w:lang w:eastAsia="zh-CN" w:bidi="hi-IN"/>
        </w:rPr>
        <w:t>Giornata mondiale contro il cancro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COVID-19 (Corona Virus </w:t>
      </w:r>
      <w:proofErr w:type="spellStart"/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Disease</w:t>
      </w:r>
      <w:proofErr w:type="spellEnd"/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)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Fragilità tra gli anziani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Politiche di promozione dell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attività fisica per il contrasto delle malattie cardiovascolari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Demenze: materiali on line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Programma per la salute per i cittadini dell</w:t>
      </w:r>
      <w:r w:rsidR="002F7BB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UE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Cannabis a uso medico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Malattie cerebro e cardiovascolari: il nuovo sito del Progetto Cuore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Influenza: un primo bilancio per la stagione 2019-2020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COVID-19: gravidanza, parto e allattamento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Malattie rare: online il nuovo portale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ITOSS: nuovi materiali per gli operatori</w:t>
      </w:r>
    </w:p>
    <w:p w:rsidR="00DB5558" w:rsidRPr="00DB5558" w:rsidRDefault="00DB5558" w:rsidP="00DB5558">
      <w:pPr>
        <w:pStyle w:val="Paragrafoelenco"/>
        <w:widowControl w:val="0"/>
        <w:numPr>
          <w:ilvl w:val="0"/>
          <w:numId w:val="10"/>
        </w:num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DB5558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Orizzonte farmaci: il Rapporto AIFA 2020 sui medicinali in arrivo</w:t>
      </w:r>
    </w:p>
    <w:p w:rsidR="00DB5558" w:rsidRDefault="00DB5558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Pr="000B3024" w:rsidRDefault="000B3024" w:rsidP="000B3024">
      <w:pPr>
        <w:pStyle w:val="Paragrafoelenco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Dalle Agenzie di stampa regionali: </w:t>
      </w:r>
    </w:p>
    <w:p w:rsidR="000B3024" w:rsidRPr="00B32A25" w:rsidRDefault="000B3024" w:rsidP="000B302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Settegiorni</w:t>
      </w:r>
      <w:proofErr w:type="spellEnd"/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PD”</w:t>
      </w:r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news </w:t>
      </w:r>
      <w:proofErr w:type="spellStart"/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letter</w:t>
      </w:r>
      <w:proofErr w:type="spellEnd"/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gruppo PD in Consiglio regionale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495 del 14 febbraio 2020</w:t>
      </w:r>
    </w:p>
    <w:p w:rsidR="000B3024" w:rsidRPr="00B64247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Disabili, 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assessore B</w:t>
      </w:r>
      <w:r w:rsidRPr="00B6424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olognini nell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angolo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B6424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Sotto il fuoco di PD e Associazioni t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enta la retromarcia sui tagli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Dovrebbe arrivare martedì 18 febbraio la delibera regionale che corregge, dopo un mese di battaglia aperta di Pd e associazioni, il taglio ai contributi per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assistenza ai disabili gravi e gravissimi deciso 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dalla giunta regionale a guida leghista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antivigilia di Natale. Pessima la gestione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assessore Bolognini, autore di quell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inaccettabile taglio, sconfessato da un voto in Aula, su mozione Pd, il 14 gennaio, e protagonista anche questa settimana di una pessima figura: era atteso in commissione per illustrare e discutere con maggioranza e opposizione e ha dato buca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ultimo, lasciando a bocca aperta anche le associazioni che, lo stesso giorno, hanno scritto una lettera preoccupata sull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esito della vicenda. Siamo preoccupati anche noi, ma continueremo a non fargli sconti.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6" w:history="1">
        <w:r w:rsidRPr="00714C5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Pr="00714C56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Superticket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addio. </w:t>
      </w:r>
      <w:r w:rsidRPr="00714C5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Sarà abolito dal primo marzo, grazie al Governo, il balzello su visite ed esami, intanto il presidente della commissi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one Sanità sbaglia la delibera. </w:t>
      </w:r>
    </w:p>
    <w:p w:rsidR="000B3024" w:rsidRPr="00714C56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Grazie alle risorse stanziate dal Governo, dal primo marzo in Lombardia non si pagherà più il </w:t>
      </w:r>
      <w:proofErr w:type="spellStart"/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superticket</w:t>
      </w:r>
      <w:proofErr w:type="spellEnd"/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su visite ed esami e sarà possibile risparmiare fino a 15 euro a prestazione. Ai leghisti però, che sia merito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attuale governo, non è ancora molto chiaro e lo dimostra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incidente in cui è incorso il presidente della commissione Sanità che ha annunciato, in una nota di lunedì, la delibera sbagliata, quella del luglio scorso, quando al governo c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era la Lega, che introduceva solo un taglio parziale e condizionato mai entrato in vigore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7" w:history="1">
        <w:r w:rsidRPr="00714C5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0B3024" w:rsidRPr="00B64247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496 del 21 febbraio 2020</w:t>
      </w:r>
    </w:p>
    <w:p w:rsidR="000B3024" w:rsidRPr="00714C56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4C5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 regione costretta a correggersi sui tagli ai disabili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714C5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Emanata la delibera che corregge (par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zialmente) i tagli di dicembre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Dopo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incidente della scorsa settimana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assessore Bolognini, martedì, è venuto a riferire in commissione sulla delibera correggi-tagli ai disabili gravi e gravissimi, che modifica quella di fine dicembre 2019 che tante proteste aveva destato nelle associazioni e nelle famiglie. Come annunciato, il buono mensile per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assistenza torna a 600 euro e saranno tolti, in parte, i vergognosi paletti punitivi nei confronti dei minori iscritti a scuola. Il passo indietro c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4C5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è stato e la pressione esercitata in Consiglio ha dato dei frutti, ma le associazioni e i famigliari lamentano ancora diversi problemi e la partita non è finita qui.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8" w:history="1">
        <w:r w:rsidRPr="00714C5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497 del 28 febbraio 2020</w:t>
      </w:r>
    </w:p>
    <w:p w:rsidR="000B3024" w:rsidRPr="008A7E28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Nonostante il coronavirus. </w:t>
      </w:r>
      <w:r w:rsidRPr="008A7E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 Lombardia ha bisogno di serenità e chiarezza, non certo di immagini in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quietanti e notizie fuorvianti </w:t>
      </w:r>
    </w:p>
    <w:p w:rsidR="000B3024" w:rsidRPr="008A7E28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Da una settimana la Lombardia è in quarantena, tra immagini e parole sempre più allarmanti e spesso fuori luogo. Invece, per poter affrontare nel modo corretto la diffusione del Covid-19 senza sottovalutazioni e senza isterismi, abbiamo bisogno di segnali di chiarezza e di serenità. Far ripartire le nostre città con regole chiare e tempestive, assicurare a tutto il sistema sanitario regionale le condizioni per operare al meglio e in sicurezza. È questo il senso della lettera che il gruppo del PD ha inviato al governatore Fontana e al ministro Speranza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9" w:history="1">
        <w:r w:rsidRPr="008A7E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Pr="008A7E28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A7E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Stop ai vol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ontari non qualificati nei nidi. </w:t>
      </w:r>
      <w:r w:rsidRPr="008A7E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Approvata in Commissione la delibera sugli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asili nidi, migliorata dal Pd </w:t>
      </w:r>
    </w:p>
    <w:p w:rsidR="000B3024" w:rsidRPr="008A7E28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Approvata mercoledì scorso, in commissione Sanità, la delibera che modifica i criteri di servizio degli asili nido.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irricevibile testo originale, proposto dall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assessore alle Politiche sociali Stefano Bolognini che permetteva, tra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altro, di affidare i bambini a volontari senza qualifica, è stato migliorato grazie alle osservazioni del Pd. Resta sbagliato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A7E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asserto di fondo che considera i nidi un servizio sociale, mentre dovrebbero essere parte dei servizi educativi 0-6 anni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10" w:history="1">
        <w:r w:rsidRPr="008A7E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Default="000B3024" w:rsidP="000B302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Lombardia sociale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I, del 16 gennaio 2020</w:t>
      </w:r>
    </w:p>
    <w:p w:rsidR="000B3024" w:rsidRPr="00C13A7B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Programmazione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Pr="00C13A7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Regole 2020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: una prima introduzione e un commento dei punti principali.</w:t>
      </w:r>
    </w:p>
    <w:p w:rsidR="000B3024" w:rsidRPr="00C13A7B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Dopo di Noi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Come allocare le risorse e avviare la riprogettazione della prossima triennalità? Aspettando la terza annualità, </w:t>
      </w:r>
      <w:hyperlink r:id="rId12" w:history="1">
        <w:r w:rsidRPr="00C13A7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alcune indicazioni rivolte alla Regione e al Ministero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</w:p>
    <w:p w:rsidR="000B3024" w:rsidRPr="00C13A7B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Fondazioni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3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identikit delle Fondazioni Comunitarie lombarde.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Una realtà in crescita, 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fotografata nell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ultimo Quaderno della Fondazione Cariplo</w:t>
      </w:r>
    </w:p>
    <w:p w:rsidR="000B3024" w:rsidRPr="00C13A7B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Non autosufficienza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 primi dati </w:t>
      </w:r>
      <w:hyperlink r:id="rId14" w:history="1">
        <w:r w:rsidRPr="00201FFA">
          <w:rPr>
            <w:rStyle w:val="Collegamentoipertestuale"/>
            <w:rFonts w:ascii="Times New Roman" w:eastAsia="Arial Unicode MS" w:hAnsi="Times New Roman"/>
            <w:kern w:val="2"/>
            <w:sz w:val="24"/>
            <w:szCs w:val="24"/>
            <w:lang w:eastAsia="zh-CN" w:bidi="hi-IN"/>
          </w:rPr>
          <w:t>sull</w:t>
        </w:r>
        <w:r w:rsidR="002F7BB4">
          <w:rPr>
            <w:rStyle w:val="Collegamentoipertestuale"/>
            <w:rFonts w:ascii="Times New Roman" w:eastAsia="Arial Unicode MS" w:hAnsi="Times New Roman"/>
            <w:kern w:val="2"/>
            <w:sz w:val="24"/>
            <w:szCs w:val="24"/>
            <w:lang w:eastAsia="zh-CN" w:bidi="hi-IN"/>
          </w:rPr>
          <w:t>’</w:t>
        </w:r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attuazione della legge regionale sul lavoro di cura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Come sta andando la diffusione di sportelli, registri e bonus assistenti famigliari?</w:t>
      </w:r>
    </w:p>
    <w:p w:rsidR="000B3024" w:rsidRPr="00C13A7B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Lavoro di cura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Bonus Assistenti familiari, una buona misura che non decolla. </w:t>
      </w:r>
      <w:hyperlink r:id="rId15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Il commento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 segretario della Cisl Lombardia</w:t>
      </w:r>
    </w:p>
    <w:p w:rsidR="000B3024" w:rsidRPr="00714C56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Disabilità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C13A7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Dove vanno le </w:t>
      </w:r>
      <w:hyperlink r:id="rId16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persone con disabilità prive del sostegno familiare</w:t>
        </w:r>
      </w:hyperlink>
      <w:r w:rsidRPr="00C13A7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? Ipotesi a partire dal modello di welfare regionale e dai dati a disposizione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Dalla Newsletter II, del 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31 gennaio 2020</w:t>
      </w: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Prima infanzia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Guardiamo la luna, non il dito. </w:t>
      </w:r>
      <w:hyperlink r:id="rId17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 commento alle recenti indicazioni</w:t>
        </w:r>
      </w:hyperlink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sui requisiti per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esercizio degli asili nido</w:t>
      </w: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Cronicità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 distanza di tre anni, un </w:t>
      </w:r>
      <w:hyperlink r:id="rId18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primo bilancio sulla riforma lombarda</w:t>
        </w:r>
      </w:hyperlink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sulla presa in carico dei cronici e fragili</w:t>
      </w: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Dopo di noi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9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Come andare avanti?</w:t>
        </w:r>
      </w:hyperlink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Alcuni spunti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 attesa dei nuovi stanziamenti provenienti dalla L.112</w:t>
      </w: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Non autosufficienza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è aria di tempesta. Le principali </w:t>
      </w:r>
      <w:hyperlink r:id="rId20" w:history="1"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novità della</w:t>
        </w:r>
        <w:r w:rsidRPr="00201FFA">
          <w:rPr>
            <w:rStyle w:val="Collegamentoipertestuale"/>
            <w:rFonts w:ascii="Times New Roman" w:eastAsia="Arial Unicode MS" w:hAnsi="Times New Roman"/>
            <w:kern w:val="2"/>
            <w:sz w:val="24"/>
            <w:szCs w:val="24"/>
            <w:lang w:eastAsia="zh-CN" w:bidi="hi-IN"/>
          </w:rPr>
          <w:t xml:space="preserve"> </w:t>
        </w:r>
        <w:r w:rsidRPr="00201FF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programmazione regionale</w:t>
        </w:r>
      </w:hyperlink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in materia per il 2020</w:t>
      </w:r>
    </w:p>
    <w:p w:rsidR="000B3024" w:rsidRPr="00201FFA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Gestione associata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Il </w:t>
      </w:r>
      <w:proofErr w:type="spellStart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NeASS</w:t>
      </w:r>
      <w:proofErr w:type="spellEnd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compie 10 anni. Alcuni dati sulla </w:t>
      </w:r>
      <w:hyperlink r:id="rId21" w:history="1">
        <w:r w:rsidRPr="003D3DB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realtà delle Aziende speciali</w:t>
        </w:r>
      </w:hyperlink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sociali in Lombardia</w:t>
      </w: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0B3024" w:rsidRDefault="000B3024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201FF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Vita indipendente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È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tutto oro ciò che luccica? </w:t>
      </w:r>
      <w:hyperlink r:id="rId22" w:history="1">
        <w:r w:rsidRPr="003D3DB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Il commento</w:t>
        </w:r>
      </w:hyperlink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 dott. </w:t>
      </w:r>
      <w:proofErr w:type="spellStart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Francescutti</w:t>
      </w:r>
      <w:proofErr w:type="spellEnd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alla proposta di </w:t>
      </w:r>
      <w:proofErr w:type="spellStart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Ledha</w:t>
      </w:r>
      <w:proofErr w:type="spellEnd"/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201FF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Verso un progetto di legge regionale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</w:p>
    <w:p w:rsidR="003A7C7A" w:rsidRDefault="003A7C7A" w:rsidP="000B302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3A7C7A" w:rsidRP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I, del </w:t>
      </w: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18 febbraio 2020</w:t>
      </w:r>
    </w:p>
    <w:p w:rsidR="003A7C7A" w:rsidRP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Disabilità</w:t>
      </w: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Ancora principi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… ma quando si passa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azione? Un </w:t>
      </w:r>
      <w:hyperlink r:id="rId23" w:history="1"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commento alle Regole 2020</w:t>
        </w:r>
      </w:hyperlink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riguardo i temi afferenti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area della disabilità</w:t>
      </w:r>
    </w:p>
    <w:p w:rsidR="003A7C7A" w:rsidRP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Programmazione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In </w:t>
      </w:r>
      <w:hyperlink r:id="rId24" w:history="1"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dialogo con V. </w:t>
        </w:r>
        <w:proofErr w:type="spellStart"/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Negrini</w:t>
        </w:r>
        <w:proofErr w:type="spellEnd"/>
      </w:hyperlink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portavoce del Forum Terzo Settore Lombardia, riguardo il Piano Sociosanitario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Integrato lombardo 2019-2023 </w:t>
      </w:r>
    </w:p>
    <w:p w:rsidR="003A7C7A" w:rsidRP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Welfare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Le misure di sostegno al cittadino lombardo. </w:t>
      </w:r>
      <w:hyperlink r:id="rId25" w:history="1"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analisi degli assistenti sociali</w:t>
        </w:r>
      </w:hyperlink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 gruppo di lavoro del CROAS</w:t>
      </w:r>
    </w:p>
    <w:p w:rsidR="003A7C7A" w:rsidRP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Conciliazione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La presenza delle imprese nelle Alleanze: </w:t>
      </w:r>
      <w:hyperlink r:id="rId26" w:history="1"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riflessioni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per la conciliazione vita-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lavoro in Lombardia</w:t>
      </w:r>
    </w:p>
    <w:p w:rsidR="003A7C7A" w:rsidRDefault="003A7C7A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A7C7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Anziani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Co-progettazione: un valore aggiunto.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3A7C7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esperienza di alcuni comuni milanesi in tema di </w:t>
      </w:r>
      <w:hyperlink r:id="rId27" w:history="1">
        <w:r w:rsidRPr="003A7C7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riprogettazione del SAD</w:t>
        </w:r>
      </w:hyperlink>
    </w:p>
    <w:p w:rsidR="0080511F" w:rsidRDefault="0080511F" w:rsidP="003A7C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</w:t>
      </w: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del 2 marzo 2020</w:t>
      </w: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Anziani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Sono anziani o sono vecchi? </w:t>
      </w:r>
      <w:hyperlink r:id="rId28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Una riflessione sull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uso delle parole</w:t>
        </w:r>
      </w:hyperlink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ai tempi del coronavirus</w:t>
      </w: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Immigrazione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9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La trasformazione del sistema SPRAR</w:t>
        </w:r>
      </w:hyperlink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: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quali sfide e opportunità per i territori? Gli aspetti di novità e un possibile modello organizzativo a sostegno del cambiamento.</w:t>
      </w: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Povertà</w:t>
      </w: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Le evidenze sull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attuazione del </w:t>
      </w:r>
      <w:proofErr w:type="spellStart"/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ReI</w:t>
      </w:r>
      <w:proofErr w:type="spellEnd"/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tratte dal monitoraggio a cura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Alleanza contro la Povertà in Italia. </w:t>
      </w:r>
      <w:hyperlink r:id="rId30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 bilancio utile per 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attuale </w:t>
        </w:r>
        <w:proofErr w:type="spellStart"/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RdC</w:t>
        </w:r>
        <w:proofErr w:type="spellEnd"/>
      </w:hyperlink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Nel territorio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Quali sono le sfide più importanti per mettere i bambini al centro delle politiche e delle comunità? </w:t>
      </w:r>
      <w:hyperlink r:id="rId31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Riflessioni dai territori di Bormio e Sondrio</w:t>
        </w:r>
      </w:hyperlink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Minori e famiglie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La </w:t>
      </w:r>
      <w:hyperlink r:id="rId32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sperimentazione dei nuovi centri per la famiglia</w:t>
        </w:r>
      </w:hyperlink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 Lombardia. Mentre la Regione vaglia i piani territoriali, cosa possiamo aspettarci?</w:t>
      </w: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Terzo settore</w:t>
      </w: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3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Negoziazione sociale: le azioni in campo</w:t>
        </w:r>
      </w:hyperlink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da parte di </w:t>
      </w:r>
      <w:proofErr w:type="spellStart"/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Fnp</w:t>
      </w:r>
      <w:proofErr w:type="spellEnd"/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Cisl Lombardia presentate nel Rapporto 2019 </w:t>
      </w:r>
    </w:p>
    <w:p w:rsidR="0080511F" w:rsidRPr="0080511F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80511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Non autosufficienza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4" w:history="1">
        <w:r w:rsidRPr="0080511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 commento del Piano nazionale per la non autosufficienza</w:t>
        </w:r>
      </w:hyperlink>
      <w:r w:rsidRPr="0080511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2019-2021 con uno sguardo alle esigenze di riforma delle politiche italiane in materia</w:t>
      </w:r>
    </w:p>
    <w:p w:rsidR="0080511F" w:rsidRPr="003A7C7A" w:rsidRDefault="0080511F" w:rsidP="008051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B37FEE" w:rsidRPr="000B3024" w:rsidRDefault="00B37FEE" w:rsidP="000B3024">
      <w:pPr>
        <w:pStyle w:val="Paragrafoelenco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Dalle Agenzie di stampa nazionali:</w:t>
      </w:r>
    </w:p>
    <w:p w:rsidR="00B37FEE" w:rsidRDefault="00B37FEE" w:rsidP="002A4993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lastRenderedPageBreak/>
        <w:t xml:space="preserve">Dalla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Conferenza delle Regioni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: </w:t>
      </w:r>
      <w:hyperlink r:id="rId35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www.regioni.it/newsletter</w:t>
        </w:r>
      </w:hyperlink>
      <w:r>
        <w:t xml:space="preserve">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3781 del 19 febbraio 2020</w:t>
      </w:r>
    </w:p>
    <w:p w:rsidR="00B37FEE" w:rsidRPr="00FE5DA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0E13EB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Reddito di cittadinanza: Inps, 1.119.000 domande accolte</w:t>
      </w:r>
    </w:p>
    <w:p w:rsidR="00B37FEE" w:rsidRDefault="002F7BB4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Trovo totalmente sbagliato sostenere la necessità di abolire il Reddito di cittadinanza. Sarebbe un errore che ci porterebbe indietro in un paese in cui i poveri sono triplicat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 dall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inizio della crisi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Così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Antonio </w:t>
      </w:r>
      <w:proofErr w:type="spellStart"/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Misiani</w:t>
      </w:r>
      <w:proofErr w:type="spellEnd"/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viceministro dell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Economia.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Osservatorio Inps sul Reddito di cittadinanza aggiornato a inizio febbraio rileva che sono 1 milione 119 mila le domande di reddito e pensione di cittadinanza accolte dall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Inps. Tra le famiglie che hanno ottenuto il beneficio 60 mila sono decadute.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Quindi le famiglie titolari di reddito (933 mila, per 2,419 milioni di individui) e di pensione di cittadinanza (126 mila con 143 mila persone coinvolte) sono nel complesso 1 milione e 59 mila, corrispondenti a 2 milioni 562 mila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‘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teste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importo medio mensile percepito ammonta a 496 euro. </w:t>
      </w:r>
      <w:hyperlink r:id="rId36" w:history="1">
        <w:r w:rsidR="00B37FEE" w:rsidRPr="000E13E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3782 del 20 febbraio 2020</w:t>
      </w:r>
    </w:p>
    <w:p w:rsidR="00B37FEE" w:rsidRPr="000E13EB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E13E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Sanità: </w:t>
      </w:r>
      <w:proofErr w:type="spellStart"/>
      <w:r w:rsidRPr="000E13E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0E13E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, al via 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0E13E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ospedale di comunità,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 w:rsidRPr="000E13E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una conquista sociale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</w:p>
    <w:p w:rsidR="00B37FEE" w:rsidRDefault="002F7BB4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Con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intesa di oggi in Conferenza Stato-Regioni nasce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Ospedale di Comunità. 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una conquista sociale molto attesa che caratterizzerà in meglio il nostro servizio sanitario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ha commentato il Presidente della Conferenza delle Regioni, Stefano </w:t>
      </w:r>
      <w:proofErr w:type="spellStart"/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Sarà una struttura di ricovero breve per quei pazienti che, a seguito di un episodio di acuzie minori o per la riacutizzazione di patologie croniche, necessitano di interventi sanitari a bassa intensità clinica.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ospedale di comunità svolgerà insomma una funzione intermedia tra la cura domiciliare e il ricovero ospedaliero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Con questa intesa abbiamo definito i requisiti strutturali, tecnologici e organizzativi minimi per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autorizzazione all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esercizio degli Ospedali di comunità pubblici o privati.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Era un traguardo già fissato nel Patto p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er la salute 2014-2016 che ora, conclude </w:t>
      </w:r>
      <w:proofErr w:type="spellStart"/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viene raggiunto grazie all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intenso lavoro congiunto delle Regioni e del Governo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0E13E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7" w:history="1">
        <w:r w:rsidR="00B37FEE" w:rsidRPr="000E13E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B37FEE" w:rsidRPr="00963052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9630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Accordo Stato-Regioni su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 w:rsidRPr="009630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comunità amiche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 w:rsidRPr="009630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delle persone con demenza</w:t>
      </w:r>
    </w:p>
    <w:p w:rsidR="00B37FEE" w:rsidRDefault="002F7BB4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Abbiamo approvato definitivamente le Linee di indirizzo nazionali per la costruzione di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‘</w:t>
      </w:r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Comunità amiche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delle persone con demenza, lavorando su tutti gli aspetti che favoriscano la messa in rete e le sinergie sul territorio per la loro realizzazione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annuncia il presidente della Conferenza delle Regioni, Stefano </w:t>
      </w:r>
      <w:proofErr w:type="spellStart"/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B37FEE" w:rsidRPr="009630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8" w:history="1">
        <w:r w:rsidR="00B37FEE" w:rsidRPr="0096305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B37FEE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3784 del 24 febbraio 2020</w:t>
      </w:r>
    </w:p>
    <w:p w:rsidR="00B37FEE" w:rsidRPr="00711B93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1B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Coronavirus: i testi dei due decreti del 23 febbraio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24 febbraio presso la sede della Protezione civile si è svolta una riunione sull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emergenza coronavirus con il presidente del Consiglio Giuseppe Conte, i ministri Roberto Speranza e Luigi Di Maio, il capo della Protezione civile Angelo Borrelli, in video collegamento con i governatori Attilio Fontana, Massimiliano </w:t>
      </w:r>
      <w:proofErr w:type="spellStart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Fedriga</w:t>
      </w:r>
      <w:proofErr w:type="spellEnd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Alberto Cirio, Luca </w:t>
      </w:r>
      <w:proofErr w:type="spellStart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Zaia</w:t>
      </w:r>
      <w:proofErr w:type="spellEnd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Giovanni Toti, un rappresentante della Valle d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Aosta e il presidente della Provincia di Bolzano Arno </w:t>
      </w:r>
      <w:proofErr w:type="spellStart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Kompatscher</w:t>
      </w:r>
      <w:proofErr w:type="spellEnd"/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Nel corso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incontro sono st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ate esaminate tutte le criticità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riguardanti i flussi transfrontalieri e il controllo dei confini aerei, marittimi, terrestri e ferrovi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ari, ivi compresa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eventualità</w:t>
      </w:r>
      <w:r w:rsidRPr="00711B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di ripristinare i controlli alle frontiere in deroga a Schengen - spiega la Protezione Civile in una nota.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9" w:history="1">
        <w:r w:rsidRPr="00711B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Pr="00711B93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11B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Coronavirus: le ordinanze delle regioni del Nord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Domenica 23 febbraio il ministro della Salute, Roberto Speranza, e il presidente della Regione Lombardia, Attilio Fontana, hanno firmato un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ordinanza con la quale, si dispongono una serie di provvedimenti per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intero territorio della Lombardia.</w:t>
      </w:r>
      <w:r w:rsidRPr="00711B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0" w:history="1">
        <w:r w:rsidRPr="00F13DC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3785 del 25 febbraio 2020</w:t>
      </w:r>
    </w:p>
    <w:p w:rsidR="00B37FEE" w:rsidRPr="0060316A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Coronavirus: 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impegno di Governo e Regioni</w:t>
      </w:r>
    </w:p>
    <w:p w:rsidR="00B37FEE" w:rsidRDefault="002F7BB4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Noi proporremo un protocollo condiviso con tutti i governatori regionali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per evitare di andare in 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ordine sparso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dice il presidente del consiglio Giuseppe Conte, prima della riunione alla protezione civile coi presidenti di regione e coi ministri.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protocollo sarà per tutte le Regioni perché occorre evitare di andare in ordine sparso. Sono ottimista, ho già notato una predisposizione da parte dei governatori alla collaborazione. Questo è il momento del confronto, per concordare le prossime azioni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aggiunge. E per rafforzare il concetto appunta su </w:t>
      </w:r>
      <w:proofErr w:type="spellStart"/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twitter</w:t>
      </w:r>
      <w:proofErr w:type="spellEnd"/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Governo, Presidenti di regione e staff tecnico del Ministero della Salute adesso in riunione congiunta per coordinare le azioni al fine di fronteggiare al meglio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emergenza Coronavirus. Uniamo gli sforzi e lavoriamo in squadra senza sosta per tutelare la salute dei nostri cittadini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B37FEE"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1" w:history="1">
        <w:r w:rsidR="00B37FEE" w:rsidRPr="0060316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Pr="00F13DC9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F13DC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Sanità: assunzione medici specializzandi, contenuti per gli accordi Regioni-Università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F13DC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Documento della Conferenz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 delle Regioni del 20 febbraio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Per poter dare seguito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assunzione dei medici specializzandi utilmente inseriti nelle graduatorie di concorso pubblico è necessario completare il quadro giuridico di riferimento (delineato dalla L. 145/2018) con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adozione degli appositi accordi tra Regioni e Province autonome e le Università degli Studi. Per questo motivo la Conferenza delle Regioni, nella riunione del 20 febbraio ha app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rovato un documento che delinea</w:t>
      </w:r>
      <w:r w:rsidRPr="00F13DC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taluni contenuti minimi ed omogenei, atti a garantire uniformità e coerenza in tutto il territorio nazionale. Sono stati pertanto predisposti cinque passaggi che si ritengono fondamentali e rispetto ai quali ogni Regione/Provincia autonoma potrà anche effettuare le opzioni proposte in base alle proprie esigenze nonché in relazione alle necessità degli Atenei di riferimento. </w:t>
      </w:r>
      <w:hyperlink r:id="rId42" w:history="1">
        <w:r w:rsidRPr="00F13DC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Pr="0060316A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Coronavirus: Lombardia, chiarimenti sull</w:t>
      </w:r>
      <w:r w:rsidR="002F7BB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ordinanza</w:t>
      </w:r>
    </w:p>
    <w:p w:rsidR="00B37FEE" w:rsidRPr="0060316A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 regione Lombardia ha fornito alcuni chiarimenti (con sistema domanda-risposta) in merito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applicazione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Ordinanza del Ministero della Salute di intesa con il Presidente di Regione Lombardia del 23 febbraio 2020.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obiettivo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ordinanza che regola le prescrizioni per il contenimento del Coronavirus nelle aree regionali classificate come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‘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gialle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(ovvero valide su tutto il territorio regionale ad eccezione della zona cosiddetta rossa) è quello di limitare le situazioni di affollamento di più persone in un unico luogo.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amministrazione sulla base delle valutazioni di ogni specifica situazione può dettagliare ulteriormente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ordinanza in coerenza con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obiettivo della stessa.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3" w:history="1">
        <w:r w:rsidRPr="0060316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Pr="00F13DC9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3786 del 26 febbraio 2020</w:t>
      </w:r>
    </w:p>
    <w:p w:rsidR="00B37FEE" w:rsidRPr="0060316A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Ospedali di comunità: il testo dell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Intesa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20 gennaio in Conferenza Stato-Regioni è stata sancita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intesa sull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Ospedale di Comunità, che il Presidente della Conferenza delle Regioni, Stefano </w:t>
      </w:r>
      <w:proofErr w:type="spellStart"/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ha definito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una conquista sociale molto attesa che caratterizzerà in meglio il nostro servizio sanitario.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Sarà una struttura di ricovero breve per quei pazienti che, a seguito di un episodio di acuzie minori o per la riacutizzazione di patologie croniche, necessitano di interventi sanitari a bassa intensità clinica.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ospedale di comunità svolgerà insomma una funzione intermedia tra la cura domiciliare e il ricovero ospedaliero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0316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4" w:history="1">
        <w:r w:rsidRPr="0060316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60316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 con il testo dell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60316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intesa.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Pr="0060316A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Emergenza Coronavirus: i testi in Gazzetta Ufficiale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 una fase in cui il diluvio informativo sull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emergenza coronavirus genera talvolta confusione, un po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di disorientamento e purtroppo anche diverse </w:t>
      </w:r>
      <w:proofErr w:type="spellStart"/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fake</w:t>
      </w:r>
      <w:proofErr w:type="spellEnd"/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news, è opportuno richiamarsi alle fonti istituzionali, alle autorità scientifiche e soprattutto alla normativa ufficiale. Per questo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Regioni.it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propone i link ai testi finora pubblicati sulla Gazzetta Ufficiale</w:t>
      </w:r>
      <w:r w:rsidRPr="0060316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5" w:history="1">
        <w:r w:rsidRPr="00B6424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3788 del 28 febbraio 2020</w:t>
      </w:r>
    </w:p>
    <w:p w:rsidR="00B37FEE" w:rsidRPr="00B64247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6424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Ordinan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ze sull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epidemia da coronavirus. </w:t>
      </w:r>
      <w:r w:rsidRPr="00B6424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Mattarella: conoscenza aiuta la responsabilità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Tutte le regioni hanno pubblicato ordinanze in merit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epidemia da coronavirus. 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Si attende ora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inizio della prossima settimana per capire se ci saranno nuovi aggiornamenti, in particolare a 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livello nazionale, che tengano conto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approfondimento della prevenzione in atto e anche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6424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evoluzione epidemiologica. Si registra la richiesta di modificare alcuni interventi per contenere il contagio e quindi di aggiornare così la prima fase delle attività di prevenzione sui territori interessati.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6" w:history="1">
        <w:r w:rsidRPr="00B6424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B37FEE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0175EA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37</w:t>
      </w:r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9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1 del 4</w:t>
      </w:r>
      <w:r w:rsidR="00F06B5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marz</w:t>
      </w:r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 2020</w:t>
      </w:r>
    </w:p>
    <w:p w:rsidR="000175EA" w:rsidRPr="000175EA" w:rsidRDefault="000175EA" w:rsidP="000175EA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175E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Coronavirus: misure e provvedimenti sanitari </w:t>
      </w:r>
    </w:p>
    <w:p w:rsidR="002A4993" w:rsidRPr="000175EA" w:rsidRDefault="002F7BB4" w:rsidP="000175EA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Stiamo lavorando con il ministero della Salute e il Governo per misure condivise, con Veneto e Lombardia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spiega Stefano </w:t>
      </w:r>
      <w:proofErr w:type="spellStart"/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presidente dell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Emilia-Romagna, per contenere al massimo il contagio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Alla luce dell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emergenza coronavirus, nei territori più colpiti,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si sta facendo un lavoro straordinario per quanto complicato sia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perché si è di fronte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 una sfida inedita in cui non si conosce la natura del virus e che tipo di propagazione possa avere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Un lavoro compiuto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intesa con i colleghi e amici Fontana e </w:t>
      </w:r>
      <w:proofErr w:type="spellStart"/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Zaia</w:t>
      </w:r>
      <w:proofErr w:type="spellEnd"/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presidenti di Lombardia e Veneto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con cui ci sentiamo decine di volte al gio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rno e con il Governo italiano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Si mira anche a potenziare il sistema sanitario, con un aumento del 50% dei posti nelle terapie intensive.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Istituto Superiore di Sanità valuta intanto di allargare la zona rossa.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Prevista la rimodulazione locale delle attività ospedaliere, ridistribuendo il personale sanitario per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assistenza, con un percorso formativo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‘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rapido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qualificante per il supporto respiratorio per infermieri e medici.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Per garantire inoltre il trasporto dei pazienti critici, è previsto che dovranno essere costituiti pool di anestesisti-rianimatori provenienti non solo dalla Regione interessata, ma anche da altre Regioni meno interessate.</w:t>
      </w:r>
      <w:r w:rsidR="000175EA" w:rsidRPr="000175E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2A4993" w:rsidRDefault="000175EA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hyperlink r:id="rId47" w:history="1">
        <w:r w:rsidRPr="000175E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0175E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 con link ai siti delle Regioni.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516739" w:rsidRDefault="00516739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EpiCentro</w:t>
      </w:r>
      <w:proofErr w:type="spellEnd"/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il portale dell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Istituto superiore di sanità: </w:t>
      </w:r>
      <w:hyperlink r:id="rId48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B37FEE" w:rsidRDefault="00F06B58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791</w:t>
      </w:r>
      <w:r w:rsid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6.2</w:t>
      </w:r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F06B58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 xml:space="preserve">Mortalità perinatale: il convegno </w:t>
      </w:r>
      <w:proofErr w:type="spellStart"/>
      <w:r w:rsidRPr="00AB279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SPItOSS</w:t>
      </w:r>
      <w:proofErr w:type="spellEnd"/>
      <w:r w:rsidR="00F06B58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B37FEE" w:rsidRPr="00AB2794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Sono online i </w:t>
      </w:r>
      <w:hyperlink r:id="rId49" w:history="1">
        <w:r w:rsidRPr="001744D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video</w:t>
        </w:r>
      </w:hyperlink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 convegno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SPItOSS</w:t>
      </w:r>
      <w:proofErr w:type="spellEnd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: risultati e valutazione di fattibilità di un progetto pilota di sorveglianza della mortalità perinatale in Italia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(Roma, 23 gennaio 2020). Durante la giornata sono stati presentati i risultati del progetto pilota di sorveglianza della mortalità perinatale </w:t>
      </w:r>
      <w:proofErr w:type="spellStart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SPItOSS</w:t>
      </w:r>
      <w:proofErr w:type="spellEnd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coordinato dall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ISS. Leggi anche il </w:t>
      </w:r>
      <w:hyperlink r:id="rId50" w:history="1">
        <w:r w:rsidRPr="001744D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commento</w:t>
        </w:r>
      </w:hyperlink>
      <w:r w:rsidRPr="001744D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dei ricercatori ISS ai risultati ottenuti.</w:t>
      </w:r>
    </w:p>
    <w:p w:rsidR="00F06B58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Nel numero di dicembre del Bollettino epidemiologico nazionale</w:t>
      </w:r>
    </w:p>
    <w:p w:rsidR="00B37FEE" w:rsidRPr="001744DA" w:rsidRDefault="002F7BB4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hyperlink r:id="rId51" w:history="1">
        <w:r w:rsidR="00B37FEE" w:rsidRPr="001744D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Indagine sui consultori familiari</w:t>
        </w:r>
      </w:hyperlink>
      <w:r w:rsidR="00B37FEE" w:rsidRPr="001744D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="00B37FEE" w:rsidRPr="001744D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 oltre 40 anni dalla loro nascita: la metodologia dello studio nazionale </w:t>
      </w:r>
    </w:p>
    <w:p w:rsidR="00F06B58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Profilo di salute della popolazione italiana</w:t>
      </w:r>
    </w:p>
    <w:p w:rsidR="00F06B58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sito Profilidisalute.it si arricchisce di alcune novità tra cui: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aggiornamento dei dati su mortalità e ospedalizzazioni,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introduzione dei dati di incidenza dai Registri Tumori (in collaborazione con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Associazione Italiana Registri Tumori) e la versione in lingua inglese. </w:t>
      </w:r>
      <w:hyperlink r:id="rId52" w:history="1">
        <w:r w:rsidRPr="008825A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8825A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8825A0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F06B58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b/>
          <w:bCs/>
          <w:color w:val="1F497D"/>
          <w:kern w:val="2"/>
          <w:sz w:val="24"/>
          <w:szCs w:val="24"/>
          <w:lang w:eastAsia="zh-CN" w:bidi="hi-IN"/>
        </w:rPr>
        <w:t>Giornata mondiale contro il cancro</w:t>
      </w:r>
    </w:p>
    <w:p w:rsidR="00B37FEE" w:rsidRPr="00AB2794" w:rsidRDefault="00B37FEE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Il ventesimo anniversario del World </w:t>
      </w:r>
      <w:proofErr w:type="spellStart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Cancer</w:t>
      </w:r>
      <w:proofErr w:type="spellEnd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Day</w:t>
      </w:r>
      <w:proofErr w:type="spellEnd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(4 febbraio) è stato un momento utile per riflettere sul contributo che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intera società può dare alla </w:t>
      </w:r>
      <w:hyperlink r:id="rId53" w:history="1">
        <w:r w:rsidRPr="008825A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lotta contro i tumori</w:t>
        </w:r>
      </w:hyperlink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Secondo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ultimo rapporto </w:t>
      </w:r>
      <w:proofErr w:type="spellStart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Aiom-Airtum</w:t>
      </w:r>
      <w:proofErr w:type="spellEnd"/>
      <w:r w:rsidRPr="00AB279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in Italia, nel 2019, sono state effettuate circa 371.000 nuove diagnosi di tumore (196.000 uomini e 175.000 donne) e le 5 neoplasie più diffuse sono risultate quelle della mammella, del colon-retto, del polmone, della prostata e della vescica. </w:t>
      </w:r>
    </w:p>
    <w:p w:rsidR="00516739" w:rsidRDefault="00516739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792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1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COVID-19 (Corona Virus </w:t>
      </w:r>
      <w:proofErr w:type="spellStart"/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Disease</w:t>
      </w:r>
      <w:proofErr w:type="spellEnd"/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)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Rimani aggiornato sul focolaio internazionale consultando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4" w:history="1"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la sezione dedicata</w:t>
        </w:r>
      </w:hyperlink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di </w:t>
      </w:r>
      <w:proofErr w:type="spellStart"/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EpiCentro</w:t>
      </w:r>
      <w:proofErr w:type="spellEnd"/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Contromisure non farmaceutiche per contrastare la diffusione del nuovo coronavirus. Online il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5" w:history="1"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nuovo report tecnico ECDC</w:t>
        </w:r>
      </w:hyperlink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sulle contromisure non farmaceutiche per contrastare la diffusione del nuovo coronavirus, ora chiamato SARS-CoV2.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lastRenderedPageBreak/>
        <w:t>Fragilità tra gli anziani</w:t>
      </w:r>
    </w:p>
    <w:p w:rsid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Istituto Superiore di Sanità (ISS) ha sviluppato un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APP che permette agli operatori socio-sanitari di identificare gli anziani a maggior rischio di fragilità a causa del loro scarso livello di attività fisica, così da indirizzarli verso percorsi idonei alle loro condizioni.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APP è stata presentata durante convegno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Prevenzione e contrasto della fragilità nell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anziano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che si è svolto il 4 febbraio 2020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ISS. Leggi la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6" w:history="1"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pagina dedicata al progetto</w:t>
        </w:r>
      </w:hyperlink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7" w:history="1"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scarica le presentazioni dei relatori</w:t>
        </w:r>
      </w:hyperlink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intervenuti al convegno.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Politiche di promozione dell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attività fisica per il contrasto delle malattie cardiovascolari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OMS Europa dedica un nuovo report 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importanza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attività fisica e al ruolo che riveste nella prevenzione delle malattie cardiovascolari. Il testo, scritto soprattutto per i legislatori, fa il punto sulla diffusione delle malattie cardiovascolari in Europa, sui livelli di attività fisica praticati dalla popolazione e sul ruolo che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attività fisica può svolgere non solo per la prevenzione delle malattie cardiovascolari, ma anche per il trattamento, fornendo una panoramica delle conoscenze scientifiche più recenti.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8" w:history="1"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2A4993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 cura di Barbara De Mei e Chiara </w:t>
      </w:r>
      <w:proofErr w:type="spellStart"/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Donfrancesco</w:t>
      </w:r>
      <w:proofErr w:type="spellEnd"/>
      <w:r w:rsidRPr="002A4993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(ISS).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Demenze: materiali on line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Sono on line i video delle presentazioni dei relatori intervenuti al XIII Convegno organizzato dall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Osservatorio Demenze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ISS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Contributo dei Centri per i disturbi cognitivi e le Demenze nella gestione integrata dei pazienti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che si è svolto il 14 e 15 novembre 2019.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59" w:history="1">
        <w:r w:rsidRPr="0051673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Consulta la pagina</w:t>
        </w:r>
      </w:hyperlink>
      <w:r w:rsidRPr="005167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dedicata.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Programma per la salute per i cittadini dell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UE</w:t>
      </w:r>
    </w:p>
    <w:p w:rsidR="002A4993" w:rsidRPr="002A4993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val="en-US" w:eastAsia="zh-CN" w:bidi="hi-IN"/>
        </w:rPr>
      </w:pP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Offrire finanziamenti a progetti in tutta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UE, prevenire le malattie, sostenere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attuazione della legislazione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UE in materia di gravi minacce per la salute a carattere transfrontaliero: sono queste </w:t>
      </w:r>
      <w:hyperlink r:id="rId60" w:history="1">
        <w:r w:rsidRPr="0051673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 azioni chiave del programma di lavoro 2014-2020</w:t>
        </w:r>
      </w:hyperlink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nel settore della salute pubblica.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 xml:space="preserve">Ne </w:t>
      </w:r>
      <w:proofErr w:type="spellStart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>parla</w:t>
      </w:r>
      <w:proofErr w:type="spellEnd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>Véronique</w:t>
      </w:r>
      <w:proofErr w:type="spellEnd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>Wasbauer</w:t>
      </w:r>
      <w:proofErr w:type="spellEnd"/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>direttrice</w:t>
      </w:r>
      <w:proofErr w:type="spellEnd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>della</w:t>
      </w:r>
      <w:proofErr w:type="spellEnd"/>
      <w:r w:rsidRPr="00516739">
        <w:rPr>
          <w:rFonts w:ascii="Times New Roman" w:eastAsia="Arial Unicode MS" w:hAnsi="Times New Roman"/>
          <w:color w:val="1F497D"/>
          <w:kern w:val="2"/>
          <w:sz w:val="24"/>
          <w:szCs w:val="24"/>
          <w:lang w:val="en-US" w:eastAsia="zh-CN" w:bidi="hi-IN"/>
        </w:rPr>
        <w:t xml:space="preserve"> Health, Agriculture and Food Executive Agency.</w:t>
      </w:r>
    </w:p>
    <w:p w:rsidR="002A4993" w:rsidRPr="00C244D9" w:rsidRDefault="002A4993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val="en-US" w:eastAsia="zh-CN" w:bidi="hi-IN"/>
        </w:rPr>
      </w:pPr>
    </w:p>
    <w:p w:rsidR="00C244D9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793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20.2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C244D9" w:rsidRPr="00C244D9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244D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Cannabis a uso medico</w:t>
      </w:r>
    </w:p>
    <w:p w:rsidR="00C244D9" w:rsidRPr="00C244D9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Dal 1 luglio al 31 dicembre 2019 il sistema di </w:t>
      </w:r>
      <w:proofErr w:type="spellStart"/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fitosorveglianza</w:t>
      </w:r>
      <w:proofErr w:type="spellEnd"/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ha ricevuto 22 segnalazioni di sospette reazioni avverse associate a uso medico di cannabis.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età mediana dei pazienti era di 56 anni e le donne rappresentavano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81% del totale. Sono alcuni dei dati presentati nella </w:t>
      </w:r>
      <w:hyperlink r:id="rId61" w:history="1">
        <w:r w:rsidRPr="00C244D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relazione semestrale</w:t>
        </w:r>
      </w:hyperlink>
      <w:r w:rsidRPr="00C244D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luglio-dicembre 2019 raccolti nell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ambito delle attività del Sistema di sorveglianza delle sospette reazioni avverse a prodotti di origine naturale coordinato dall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244D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ISS.</w:t>
      </w:r>
      <w:r w:rsidRPr="00C244D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C244D9" w:rsidRPr="00C244D9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244D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Malattie cerebro e cardiovascolari: il nuovo sito del Progetto Cuore</w:t>
      </w:r>
    </w:p>
    <w:p w:rsidR="00C244D9" w:rsidRDefault="002F7BB4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hyperlink r:id="rId62" w:history="1">
        <w:r w:rsidR="00C244D9" w:rsidRPr="00E4745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Il sito del Progetto Cuore dell</w:t>
        </w:r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="00C244D9" w:rsidRPr="00E4745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ISS</w:t>
        </w:r>
      </w:hyperlink>
      <w:r w:rsidR="00C244D9" w:rsidRPr="00C244D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si rinnova con una versione aggiornata nella grafica, nei contenuti e accessibile da tutti i dispositivi. In particolare, una nuova sezione presenta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ultima indagine della </w:t>
      </w:r>
      <w:proofErr w:type="spellStart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Health</w:t>
      </w:r>
      <w:proofErr w:type="spellEnd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Examination</w:t>
      </w:r>
      <w:proofErr w:type="spellEnd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Survey</w:t>
      </w:r>
      <w:proofErr w:type="spellEnd"/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condotta nel 2018-2019 dal Dipartimento delle Malattie Cardiovascolari, Endocrino-metaboliche e Invecchiamento dell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C244D9"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ISS.</w:t>
      </w:r>
    </w:p>
    <w:p w:rsidR="00E47452" w:rsidRPr="00E47452" w:rsidRDefault="00E47452" w:rsidP="00E47452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E474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Influenza: un primo bilancio per la stagione 2019-2020</w:t>
      </w:r>
    </w:p>
    <w:p w:rsidR="00E47452" w:rsidRDefault="00E47452" w:rsidP="00E47452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Dai dati finora disponibili emerge che la stagione 2019-2020 è stata caratterizzata da un periodo iniziale di bassa incidenza, che si è protratto fino alla fine di dicembre 2019, e da un intensificarsi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attività virale con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inizio del nuovo anno. Nelle prime settimane del 2020, infatti,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incidenza delle sindromi </w:t>
      </w:r>
      <w:proofErr w:type="spellStart"/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simil</w:t>
      </w:r>
      <w:proofErr w:type="spellEnd"/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-influenzali è aumentata progressivamente fino al raggiungimento del picco epidemico nella quinta settimana del 2020, con un livello pari a circa 13 casi per mille assistiti, valore che colloca la stagione in corso a un livello di 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media intensità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63" w:history="1">
        <w:r w:rsidRPr="00E4745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Consulta il commento</w:t>
        </w:r>
      </w:hyperlink>
      <w:r w:rsidRPr="00E474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E47452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di Antonino Bella (Dipartimento Malattie Infettive, ISS).</w:t>
      </w:r>
    </w:p>
    <w:p w:rsidR="00C244D9" w:rsidRPr="002A4993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C244D9" w:rsidRDefault="00C244D9" w:rsidP="00C244D9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794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27.2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COVID-19: gravidanza, parto e allattamento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 ricercatori ISS hanno preparato una panoramica sulle </w:t>
      </w:r>
      <w:hyperlink r:id="rId64" w:history="1">
        <w:r w:rsidRPr="00CE4CC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informazioni disponibili</w:t>
        </w:r>
      </w:hyperlink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per quanto riguarda le infezioni da COVID-19 contratte in gravidanza e durante il periodo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allattamento, 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con</w:t>
      </w: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le indicazioni pratiche per gli operatori sanitari 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che entrano in contatto con donne in gravidanza e bambini piccoli. 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Malattie rare: online il nuovo portale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ambito delle celebrazioni per la Giornata mondiale delle malattie rare (29 febbraio)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 e il ministero della Salute hanno lanciato il</w:t>
      </w: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nuovo portale dedicato alle malattie rare</w:t>
      </w: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Ideato per i cittadini, il sito è stato pensato per essere utile anche ai professionisti sanitari e a tutti i soggetti coinvolti a vario titolo nell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ambito delle malattie rare. </w:t>
      </w:r>
      <w:hyperlink r:id="rId65" w:history="1">
        <w:r w:rsidRPr="00CE4CC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2F7BB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CE4CC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 cura di Marta De </w:t>
      </w:r>
      <w:proofErr w:type="spellStart"/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Santis</w:t>
      </w:r>
      <w:proofErr w:type="spellEnd"/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(Centro nazionale malattie rare, ISS).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ITOSS: nuovi materiali per gli operatori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Sono online i contenuti del corso di</w:t>
      </w: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66" w:history="1">
        <w:r w:rsidRPr="00765A7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Formazione a distanza (</w:t>
        </w:r>
        <w:proofErr w:type="spellStart"/>
        <w:r w:rsidRPr="00765A7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FaD</w:t>
        </w:r>
        <w:proofErr w:type="spellEnd"/>
        <w:r w:rsidRPr="00765A7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) sulla sepsi materna</w:t>
        </w:r>
      </w:hyperlink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realizzati dal Reparto Salute della donna e dell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CE4CC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età evolutiva del Centro nazionale di prevenzione e promozione della salute (CNAPPS-ISS).</w:t>
      </w:r>
    </w:p>
    <w:p w:rsidR="00CE4CCF" w:rsidRPr="00CE4CCF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Orizzonte farmaci: il Rapporto AIFA 2020 sui medicinali in arrivo</w:t>
      </w:r>
    </w:p>
    <w:p w:rsidR="00E47452" w:rsidRPr="00E47452" w:rsidRDefault="00CE4CCF" w:rsidP="00CE4CCF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Nella seconda edizione del Rapporto </w:t>
      </w:r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hyperlink r:id="rId67" w:history="1">
        <w:r w:rsidRPr="00765A7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Orizzonte farmaci</w:t>
        </w:r>
      </w:hyperlink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 w:rsidRPr="00CE4CC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</w:t>
      </w:r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pubblicato dall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AIFA sono disponibili i dati sui nuovi farmaci autorizzati. Nel 2019 l</w:t>
      </w:r>
      <w:r w:rsidR="002F7BB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Agenzia Europea per i Medicinali (EMA) ha dato il via libera a 51 nuovi medicinali e, per il 2020, è atteso un parere rispetto ad altri 76 farmaci, tra cui due riguardanti terapie avanzate (atrofia muscolare spinale e </w:t>
      </w:r>
      <w:proofErr w:type="spellStart"/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leucodistrofia</w:t>
      </w:r>
      <w:proofErr w:type="spellEnd"/>
      <w:r w:rsidRPr="00765A7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metacromatica).</w:t>
      </w:r>
    </w:p>
    <w:p w:rsidR="00516739" w:rsidRPr="002A4993" w:rsidRDefault="00516739" w:rsidP="002A4993">
      <w:pPr>
        <w:widowControl w:val="0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Per suggerimenti, notizie,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ecc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… scriveteci. Il nostro indirizzo è: </w:t>
      </w:r>
      <w:hyperlink r:id="rId68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blocknotes@lomb.cgil.it/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Questo numero di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è pubblicato sul nostro sito al seguente </w:t>
      </w:r>
      <w:hyperlink r:id="rId69" w:history="1">
        <w:r w:rsidRPr="002C65E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</w:t>
        </w:r>
      </w:hyperlink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Tutti i numeri arretrati di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sono disponibili sul sito della CGIL Lombardia al seguente </w:t>
      </w:r>
      <w:hyperlink r:id="rId70" w:history="1">
        <w:r w:rsidRPr="002C65E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Link.</w:t>
        </w:r>
      </w:hyperlink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CI TROVI ANCHE SU</w:t>
      </w:r>
      <w:r>
        <w:rPr>
          <w:rFonts w:ascii="Times New Roman" w:eastAsia="Arial Unicode MS" w:hAnsi="Times New Roman"/>
          <w:b/>
          <w:noProof/>
          <w:color w:val="1F497D"/>
          <w:kern w:val="2"/>
          <w:sz w:val="24"/>
          <w:szCs w:val="24"/>
        </w:rPr>
        <w:drawing>
          <wp:inline distT="0" distB="0" distL="0" distR="0" wp14:anchorId="3EEFB6DB" wp14:editId="0D46CECC">
            <wp:extent cx="323850" cy="313055"/>
            <wp:effectExtent l="0" t="0" r="0" b="0"/>
            <wp:docPr id="2" name="Immagine 2">
              <a:hlinkClick xmlns:a="http://schemas.openxmlformats.org/drawingml/2006/main" r:id="rId7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8166A" wp14:editId="4A00C416">
            <wp:extent cx="323850" cy="313055"/>
            <wp:effectExtent l="0" t="0" r="0" b="0"/>
            <wp:docPr id="1" name="Immagine 1">
              <a:hlinkClick xmlns:a="http://schemas.openxmlformats.org/drawingml/2006/main" r:id="rId7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73" w:rsidRDefault="002F7BB4" w:rsidP="002A4993">
      <w:pPr>
        <w:jc w:val="both"/>
      </w:pPr>
      <w:bookmarkStart w:id="0" w:name="_GoBack"/>
      <w:bookmarkEnd w:id="0"/>
    </w:p>
    <w:sectPr w:rsidR="0044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D68"/>
    <w:multiLevelType w:val="hybridMultilevel"/>
    <w:tmpl w:val="CB4C96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762"/>
    <w:multiLevelType w:val="hybridMultilevel"/>
    <w:tmpl w:val="8B3639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06857"/>
    <w:multiLevelType w:val="hybridMultilevel"/>
    <w:tmpl w:val="98EC1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1729A"/>
    <w:multiLevelType w:val="hybridMultilevel"/>
    <w:tmpl w:val="B9440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E659C"/>
    <w:multiLevelType w:val="hybridMultilevel"/>
    <w:tmpl w:val="37CC0B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13CEC"/>
    <w:multiLevelType w:val="hybridMultilevel"/>
    <w:tmpl w:val="BE904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C3238"/>
    <w:multiLevelType w:val="hybridMultilevel"/>
    <w:tmpl w:val="862263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690605"/>
    <w:multiLevelType w:val="hybridMultilevel"/>
    <w:tmpl w:val="CEF4FA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7556A9"/>
    <w:multiLevelType w:val="hybridMultilevel"/>
    <w:tmpl w:val="8C261A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175EA"/>
    <w:rsid w:val="000B3024"/>
    <w:rsid w:val="001744DA"/>
    <w:rsid w:val="001911F5"/>
    <w:rsid w:val="002A4993"/>
    <w:rsid w:val="002C0686"/>
    <w:rsid w:val="002F7BB4"/>
    <w:rsid w:val="003A7C7A"/>
    <w:rsid w:val="005060AA"/>
    <w:rsid w:val="00516739"/>
    <w:rsid w:val="006567C1"/>
    <w:rsid w:val="00765A7C"/>
    <w:rsid w:val="0080511F"/>
    <w:rsid w:val="00836E7C"/>
    <w:rsid w:val="008825A0"/>
    <w:rsid w:val="00986FDF"/>
    <w:rsid w:val="00A841FB"/>
    <w:rsid w:val="00AF055C"/>
    <w:rsid w:val="00B37FEE"/>
    <w:rsid w:val="00BF3D94"/>
    <w:rsid w:val="00C244D9"/>
    <w:rsid w:val="00CE4CCF"/>
    <w:rsid w:val="00DB5558"/>
    <w:rsid w:val="00E47452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11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11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mbardiasociale.it/2020/01/12/lidentikit-delle-fondazioni-di-comunita/" TargetMode="External"/><Relationship Id="rId18" Type="http://schemas.openxmlformats.org/officeDocument/2006/relationships/hyperlink" Target="https://postaweb.sintel.net/owa/redir.aspx?C=bvvPiA7fjKnFXTnDRzemYXUutt4JP1p8qXzJmNiY8NwePw8RlLzXCA..&amp;URL=https%3a%2f%2flombardiasociale.us2.list-manage.com%2ftrack%2fclick%3fu%3dc0196cf4f2e414abe67e3053d%26id%3d61745b66df%26e%3d0958976b3c" TargetMode="External"/><Relationship Id="rId26" Type="http://schemas.openxmlformats.org/officeDocument/2006/relationships/hyperlink" Target="http://www.lombardiasociale.it/2020/02/12/alleanze-future-riflessioni-per-la-conciliazione-vita-lavoro-in-lombardia/" TargetMode="External"/><Relationship Id="rId39" Type="http://schemas.openxmlformats.org/officeDocument/2006/relationships/hyperlink" Target="http://www.regioni.it/newsletter/n-3784/del-24-02-2020/coronavirus-i-testi-dei-due-decreti-del-23-febbraio-20850/?utm_source=emailcampaign4425&amp;utm_medium=phpList&amp;utm_content=HTMLemail&amp;utm_campaign=Regioni.it+n.+3784+-+luned%C3%AC+24+febbraio+2020" TargetMode="External"/><Relationship Id="rId21" Type="http://schemas.openxmlformats.org/officeDocument/2006/relationships/hyperlink" Target="https://postaweb.sintel.net/owa/redir.aspx?C=xd_l4HIK086IoJefZR1ATscFjMGhsnDZChIPalLcr9cYt73YkrzXCA..&amp;URL=https%3a%2f%2flombardiasociale.us2.list-manage.com%2ftrack%2fclick%3fu%3dc0196cf4f2e414abe67e3053d%26id%3df2b58da0ce%26e%3d0958976b3c" TargetMode="External"/><Relationship Id="rId34" Type="http://schemas.openxmlformats.org/officeDocument/2006/relationships/hyperlink" Target="http://www.lombardiasociale.it/2020/02/27/pnna-un-giudizio-ambivalente-in-attesa-della-riforma/?doing_wp_cron=1583156182.7420821189880371093750" TargetMode="External"/><Relationship Id="rId42" Type="http://schemas.openxmlformats.org/officeDocument/2006/relationships/hyperlink" Target="http://www.regioni.it/newsletter/n-3785/del-25-02-2020/sanita-assunzione-medici-specializzandi-contenuti-per-gli-accordi-regioni-universita-20856/?utm_source=emailcampaign4427&amp;utm_medium=phpList&amp;utm_content=HTMLemail&amp;utm_campaign=Regioni.it+n.+3785+-+marted%C3%AC+25+febbraio+2020" TargetMode="External"/><Relationship Id="rId47" Type="http://schemas.openxmlformats.org/officeDocument/2006/relationships/hyperlink" Target="http://www.regioni.it/newsletter/n-3791/del-04-03-2020/coronavirus-misure-e-provvedimenti-sanitari-20895/" TargetMode="External"/><Relationship Id="rId50" Type="http://schemas.openxmlformats.org/officeDocument/2006/relationships/hyperlink" Target="https://www.epicentro.iss.it/itoss/spitoss-convegno-2020?utm_source=newsletter&amp;utm_medium=email&amp;utm_campaign=6febbraio2020" TargetMode="External"/><Relationship Id="rId55" Type="http://schemas.openxmlformats.org/officeDocument/2006/relationships/hyperlink" Target="https://www.epicentro.iss.it/coronavirus/aggiornamenti?utm_source=newsletter&amp;utm_medium=email&amp;utm_campaign=13febbraio2020" TargetMode="External"/><Relationship Id="rId63" Type="http://schemas.openxmlformats.org/officeDocument/2006/relationships/hyperlink" Target="https://www.epicentro.iss.it/influenza/stagione-2019-2020-primo-bilancio" TargetMode="External"/><Relationship Id="rId68" Type="http://schemas.openxmlformats.org/officeDocument/2006/relationships/hyperlink" Target="mailto:blocknotes@lomb.cgil.it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pdregionelombardia.it/19721/?utm_source=mailpoet&amp;utm_medium=email&amp;utm_campaign=test493-coraggio-lombardia_137" TargetMode="External"/><Relationship Id="rId71" Type="http://schemas.openxmlformats.org/officeDocument/2006/relationships/hyperlink" Target="https://www.facebook.com/pages/Cgil-Lombardia/3217841812841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mbardiasociale.it/2020/01/13/ma-dove-vanno-le-persone-con-disabilita/" TargetMode="External"/><Relationship Id="rId29" Type="http://schemas.openxmlformats.org/officeDocument/2006/relationships/hyperlink" Target="http://www.lombardiasociale.it/2020/02/27/la-trasformazione-del-sistema-sprar-quali-sfide-e-opportunita-per-i-territori/" TargetMode="External"/><Relationship Id="rId11" Type="http://schemas.openxmlformats.org/officeDocument/2006/relationships/hyperlink" Target="http://www.lombardiasociale.it/2020/01/08/le-regole-di-esercizio-2020/" TargetMode="External"/><Relationship Id="rId24" Type="http://schemas.openxmlformats.org/officeDocument/2006/relationships/hyperlink" Target="http://www.lombardiasociale.it/2020/02/11/perche-noi-siamo-gia-unici/" TargetMode="External"/><Relationship Id="rId32" Type="http://schemas.openxmlformats.org/officeDocument/2006/relationships/hyperlink" Target="http://www.lombardiasociale.it/2020/02/27/si-sperimentano-nuovi-centri-per-la-famiglia-in-lombardia/" TargetMode="External"/><Relationship Id="rId37" Type="http://schemas.openxmlformats.org/officeDocument/2006/relationships/hyperlink" Target="http://www.regioni.it/newsletter/n-3782/del-20-02-2020/sanita-bonaccini-al-via-lospedale-di-comunita-una-conquista-sociale-20834/?utm_source=emailcampaign4423&amp;utm_medium=phpList&amp;utm_content=HTMLemail&amp;utm_campaign=Regioni.it+n.+3782+-+gioved%C3%AC+20+febbraio+2020" TargetMode="External"/><Relationship Id="rId40" Type="http://schemas.openxmlformats.org/officeDocument/2006/relationships/hyperlink" Target="http://www.regioni.it/newsletter/n-3784/del-24-02-2020/coronavirus-le-ordinanze-delle-regioni-del-nord-20847/?utm_source=emailcampaign4425&amp;utm_medium=phpList&amp;utm_content=HTMLemail&amp;utm_campaign=Regioni.it+n.+3784+-+luned%C3%AC+24+febbraio+2020" TargetMode="External"/><Relationship Id="rId45" Type="http://schemas.openxmlformats.org/officeDocument/2006/relationships/hyperlink" Target="https://postaweb.sintel.net/owa/?ae=Item&amp;a=Open&amp;t=IPM.Note&amp;id=RgAAAADOwkqy6PImSaTI4oRcnM1LBwC9K%2bSEpK6rQID%2fO5a2I4HXAAAAEwM2AAAWEy1n6qrKRJhR34%2fArvBlAADpwN2RAAAA&amp;pspid=_1582922351677_40590985" TargetMode="External"/><Relationship Id="rId53" Type="http://schemas.openxmlformats.org/officeDocument/2006/relationships/hyperlink" Target="https://www.epicentro.iss.it/tumori/aggiornamenti?utm_source=newsletter&amp;utm_medium=email&amp;utm_campaign=6febbraio2020" TargetMode="External"/><Relationship Id="rId58" Type="http://schemas.openxmlformats.org/officeDocument/2006/relationships/hyperlink" Target="https://www.epicentro.iss.it/attivita_fisica/attivita-fisica-prevenzione-cardiovascolare?utm_source=newsletter&amp;utm_medium=email&amp;utm_campaign=13febbraio2020" TargetMode="External"/><Relationship Id="rId66" Type="http://schemas.openxmlformats.org/officeDocument/2006/relationships/hyperlink" Target="https://www.epicentro.iss.it/itoss/fad-sepsi" TargetMode="External"/><Relationship Id="rId7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lombardiasociale.it/2020/01/14/bonus-assistenti-famigliari-una-buona-misura-che-non-decolla/" TargetMode="External"/><Relationship Id="rId23" Type="http://schemas.openxmlformats.org/officeDocument/2006/relationships/hyperlink" Target="http://www.lombardiasociale.it/2020/02/10/ancora-principi-ma-quando-si-passa-allazione/" TargetMode="External"/><Relationship Id="rId28" Type="http://schemas.openxmlformats.org/officeDocument/2006/relationships/hyperlink" Target="http://www.lombardiasociale.it/2020/03/02/vecchi-riflessioni-a-partire-dal-coronavirus/" TargetMode="External"/><Relationship Id="rId36" Type="http://schemas.openxmlformats.org/officeDocument/2006/relationships/hyperlink" Target="http://www.regioni.it/newsletter/n-3781/del-19-02-2020/reddito-di-cittadinanza-inps-1-119-000-domande-accolte-20818/" TargetMode="External"/><Relationship Id="rId49" Type="http://schemas.openxmlformats.org/officeDocument/2006/relationships/hyperlink" Target="https://www.epicentro.iss.it/itoss/spitoss-video-convegno-2020?utm_source=newsletter&amp;utm_medium=email&amp;utm_campaign=6febbraio2020" TargetMode="External"/><Relationship Id="rId57" Type="http://schemas.openxmlformats.org/officeDocument/2006/relationships/hyperlink" Target="https://www.epicentro.iss.it/passi-argento/info/app-fragilita?utm_source=newsletter&amp;utm_medium=email&amp;utm_campaign=13febbraio2020" TargetMode="External"/><Relationship Id="rId61" Type="http://schemas.openxmlformats.org/officeDocument/2006/relationships/hyperlink" Target="https://www.epicentro.iss.it/cannabis-uso-medico/aggiornamenti?utm_source=newsletter&amp;utm_medium=email&amp;utm_campaign=20febbraio2020" TargetMode="External"/><Relationship Id="rId10" Type="http://schemas.openxmlformats.org/officeDocument/2006/relationships/hyperlink" Target="https://www.pdregionelombardia.it/19967/?utm_source=mailpoet&amp;utm_medium=email&amp;utm_campaign=test493-coraggio-lombardia_137" TargetMode="External"/><Relationship Id="rId19" Type="http://schemas.openxmlformats.org/officeDocument/2006/relationships/hyperlink" Target="http://www.lombardiasociale.it/2020/01/15/dopo-di-noi-verso-la-seconda-fase/" TargetMode="External"/><Relationship Id="rId31" Type="http://schemas.openxmlformats.org/officeDocument/2006/relationships/hyperlink" Target="http://www.lombardiasociale.it/2020/02/25/integrazione-e-corresponsabilita-per-mettere-i-bambini-al-centro/" TargetMode="External"/><Relationship Id="rId44" Type="http://schemas.openxmlformats.org/officeDocument/2006/relationships/hyperlink" Target="http://www.regioni.it/newsletter/n-3786/del-26-02-2020/ospedali-di-comunita-il-testo-dellintesa-20870/" TargetMode="External"/><Relationship Id="rId52" Type="http://schemas.openxmlformats.org/officeDocument/2006/relationships/hyperlink" Target="https://www.epicentro.iss.it/strumenti/profili-di-salute?utm_source=newsletter&amp;utm_medium=email&amp;utm_campaign=6febbraio2020" TargetMode="External"/><Relationship Id="rId60" Type="http://schemas.openxmlformats.org/officeDocument/2006/relationships/hyperlink" Target="https://www.epicentro.iss.it/politiche_sanitarie/aggiornamenti?utm_source=newsletter&amp;utm_medium=email&amp;utm_campaign=13febbraio2020" TargetMode="External"/><Relationship Id="rId65" Type="http://schemas.openxmlformats.org/officeDocument/2006/relationships/hyperlink" Target="https://www.epicentro.iss.it/politiche_sanitarie/sito-malattie-rare" TargetMode="External"/><Relationship Id="rId73" Type="http://schemas.openxmlformats.org/officeDocument/2006/relationships/hyperlink" Target="https://twitter.com/CGILLOMBAR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dregionelombardia.it/20002/?utm_source=mailpoet&amp;utm_medium=email&amp;utm_campaign=test493-coraggio-lombardia_137" TargetMode="External"/><Relationship Id="rId14" Type="http://schemas.openxmlformats.org/officeDocument/2006/relationships/hyperlink" Target="http://www.lombardiasociale.it/2020/01/13/lattuazione-della-legge-sulle-badanti-i-primi-dati/" TargetMode="External"/><Relationship Id="rId22" Type="http://schemas.openxmlformats.org/officeDocument/2006/relationships/hyperlink" Target="http://www.lombardiasociale.it/2020/01/13/ma-dove-vanno-le-persone-con-disabilita/" TargetMode="External"/><Relationship Id="rId27" Type="http://schemas.openxmlformats.org/officeDocument/2006/relationships/hyperlink" Target="http://www.lombardiasociale.it/2020/02/07/co-progettazione-un-valore-aggiunto/" TargetMode="External"/><Relationship Id="rId30" Type="http://schemas.openxmlformats.org/officeDocument/2006/relationships/hyperlink" Target="http://www.lombardiasociale.it/2020/02/27/il-reddito-di-inclusione-un-bilancio-utile-per-lattuale-rdc/" TargetMode="External"/><Relationship Id="rId35" Type="http://schemas.openxmlformats.org/officeDocument/2006/relationships/hyperlink" Target="http://www.regioni.it/newsletter" TargetMode="External"/><Relationship Id="rId43" Type="http://schemas.openxmlformats.org/officeDocument/2006/relationships/hyperlink" Target="http://www.regioni.it/newsletter/n-3785/del-25-02-2020/coronavirus-lombardia-chiarimenti-sullordinanza-20852/" TargetMode="External"/><Relationship Id="rId48" Type="http://schemas.openxmlformats.org/officeDocument/2006/relationships/hyperlink" Target="http://www.epicentro.iss.it" TargetMode="External"/><Relationship Id="rId56" Type="http://schemas.openxmlformats.org/officeDocument/2006/relationships/hyperlink" Target="https://www.epicentro.iss.it/passi-argento/info/app-fragilita?utm_source=newsletter&amp;utm_medium=email&amp;utm_campaign=13febbraio2020" TargetMode="External"/><Relationship Id="rId64" Type="http://schemas.openxmlformats.org/officeDocument/2006/relationships/hyperlink" Target="https://www.epicentro.iss.it/coronavirus/gravidanza-parto-allattamento" TargetMode="External"/><Relationship Id="rId69" Type="http://schemas.openxmlformats.org/officeDocument/2006/relationships/hyperlink" Target="https://www.cgil.lombardia.it/block-notes-sanita/" TargetMode="External"/><Relationship Id="rId8" Type="http://schemas.openxmlformats.org/officeDocument/2006/relationships/hyperlink" Target="https://www.pdregionelombardia.it/19917/?utm_source=mailpoet&amp;utm_medium=email&amp;utm_campaign=test493-coraggio-lombardia_137" TargetMode="External"/><Relationship Id="rId51" Type="http://schemas.openxmlformats.org/officeDocument/2006/relationships/hyperlink" Target="https://www.epicentro.iss.it/ben/2019/dicembre/consultori-familiari-40-anni" TargetMode="External"/><Relationship Id="rId72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www.lombardiasociale.it/2020/01/15/dopo-di-noi-verso-la-seconda-fase/" TargetMode="External"/><Relationship Id="rId17" Type="http://schemas.openxmlformats.org/officeDocument/2006/relationships/hyperlink" Target="http://www.lombardiasociale.it/2020/01/30/nidi-guardiamo-la-luna-non-il-dito/" TargetMode="External"/><Relationship Id="rId25" Type="http://schemas.openxmlformats.org/officeDocument/2006/relationships/hyperlink" Target="http://www.lombardiasociale.it/2020/02/13/misure-di-sostegno-al-cittadino-lombardo-unanalisi-degli-assistenti-sociali/" TargetMode="External"/><Relationship Id="rId33" Type="http://schemas.openxmlformats.org/officeDocument/2006/relationships/hyperlink" Target="http://www.lombardiasociale.it/2020/02/26/negoziazione-sociale-in-crescita-vicino-ai-cittadini/" TargetMode="External"/><Relationship Id="rId38" Type="http://schemas.openxmlformats.org/officeDocument/2006/relationships/hyperlink" Target="http://www.regioni.it/newsletter/n-3782/del-20-02-2020/accordo-stato-regioni-su-comunita-amiche-delle-persone-con-demenza-20832/" TargetMode="External"/><Relationship Id="rId46" Type="http://schemas.openxmlformats.org/officeDocument/2006/relationships/hyperlink" Target="http://www.regioni.it/newsletter/n-3788/del-29-02-2020/ordinanze-sullepidemia-da-coronavirus-20879/?utm_source=emailcampaign4431&amp;utm_medium=phpList&amp;utm_content=HTMLemail&amp;utm_campaign=Regioni.it+n.+3788+-+venerd%C3%AC+28+febbraio+2020" TargetMode="External"/><Relationship Id="rId59" Type="http://schemas.openxmlformats.org/officeDocument/2006/relationships/hyperlink" Target="https://www.epicentro.iss.it/demenza/gestione-integrata-pazienti-convegno-2019?utm_source=newsletter&amp;utm_medium=email&amp;utm_campaign=13febbraio2020" TargetMode="External"/><Relationship Id="rId67" Type="http://schemas.openxmlformats.org/officeDocument/2006/relationships/hyperlink" Target="https://www.epicentro.iss.it/farmaci/aggiornamenti" TargetMode="External"/><Relationship Id="rId20" Type="http://schemas.openxmlformats.org/officeDocument/2006/relationships/hyperlink" Target="https://postaweb.sintel.net/owa/redir.aspx?C=NfdARjvRwlcp-i8DSP4nUWuRhHIjm3wkwt8ZrGPDw80ePw8RlLzXCA..&amp;URL=https%3a%2f%2flombardiasociale.us2.list-manage.com%2ftrack%2fclick%3fu%3dc0196cf4f2e414abe67e3053d%26id%3d0a42ea8271%26e%3d0958976b3c" TargetMode="External"/><Relationship Id="rId41" Type="http://schemas.openxmlformats.org/officeDocument/2006/relationships/hyperlink" Target="http://www.regioni.it/newsletter/n-3785/del-25-02-2020/coronavirus-limpegno-di-governo-e-regioni-20858/?utm_source=emailcampaign4427&amp;utm_medium=phpList&amp;utm_content=HTMLemail&amp;utm_campaign=Regioni.it+n.+3785+-+marted%C3%AC+25+febbraio+2020" TargetMode="External"/><Relationship Id="rId54" Type="http://schemas.openxmlformats.org/officeDocument/2006/relationships/hyperlink" Target="https://www.epicentro.iss.it/coronavirus/?utm_source=newsletter&amp;utm_medium=email&amp;utm_campaign=13febbraio2020" TargetMode="External"/><Relationship Id="rId62" Type="http://schemas.openxmlformats.org/officeDocument/2006/relationships/hyperlink" Target="http://www.cuore.iss.it/" TargetMode="External"/><Relationship Id="rId70" Type="http://schemas.openxmlformats.org/officeDocument/2006/relationships/hyperlink" Target="http://old.cgil.lombardia.it/Root/AreeTematiche/WelfareeSanit%C3%A0/Blocknotessanit%C3%A0/tabid/89/Default.aspx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dregionelombardia.it/19829/?utm_source=mailpoet&amp;utm_medium=email&amp;utm_campaign=test493-coraggio-lombardia_1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2020-03-04T22:56:00Z</dcterms:created>
  <dcterms:modified xsi:type="dcterms:W3CDTF">2020-03-04T22:56:00Z</dcterms:modified>
</cp:coreProperties>
</file>